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952" w:rsidRDefault="00A905A4">
      <w:pPr>
        <w:spacing w:line="520" w:lineRule="exact"/>
        <w:jc w:val="center"/>
        <w:rPr>
          <w:rFonts w:ascii="仿宋_GB2312" w:eastAsia="仿宋_GB2312" w:hAnsi="仿宋" w:cs="仿宋"/>
          <w:b/>
          <w:bCs/>
          <w:sz w:val="28"/>
          <w:szCs w:val="28"/>
        </w:rPr>
      </w:pPr>
      <w:r>
        <w:rPr>
          <w:rFonts w:ascii="仿宋_GB2312" w:eastAsia="仿宋_GB2312" w:hAnsi="仿宋" w:cs="仿宋"/>
          <w:b/>
          <w:bCs/>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AutoShape 2" o:spid="_x0000_s2050" type="#_x0000_t136" style="position:absolute;left:0;text-align:left;margin-left:18.75pt;margin-top:34.7pt;width:405pt;height:70.2pt;z-index:251660288" fillcolor="red" stroked="f">
            <v:textpath style="font-family:&quot;华文行楷&quot;;font-weight:bold" trim="t" fitpath="t" string="资本市场信息要报"/>
            <o:lock v:ext="edit" text="f"/>
            <w10:anchorlock/>
          </v:shape>
        </w:pict>
      </w:r>
    </w:p>
    <w:p w:rsidR="00A33952" w:rsidRDefault="00A33952">
      <w:pPr>
        <w:spacing w:line="520" w:lineRule="exact"/>
        <w:rPr>
          <w:rFonts w:ascii="仿宋_GB2312" w:eastAsia="仿宋_GB2312" w:hAnsi="仿宋" w:cs="仿宋"/>
          <w:b/>
          <w:bCs/>
          <w:sz w:val="28"/>
          <w:szCs w:val="28"/>
        </w:rPr>
      </w:pPr>
    </w:p>
    <w:p w:rsidR="00A33952" w:rsidRDefault="00A33952">
      <w:pPr>
        <w:spacing w:line="520" w:lineRule="exact"/>
        <w:jc w:val="center"/>
        <w:rPr>
          <w:rFonts w:ascii="仿宋_GB2312" w:eastAsia="仿宋_GB2312" w:hAnsi="仿宋" w:cs="仿宋"/>
          <w:b/>
          <w:bCs/>
          <w:sz w:val="28"/>
          <w:szCs w:val="28"/>
        </w:rPr>
      </w:pPr>
    </w:p>
    <w:p w:rsidR="00A33952" w:rsidRDefault="00A33952">
      <w:pPr>
        <w:spacing w:line="520" w:lineRule="exact"/>
        <w:rPr>
          <w:rFonts w:ascii="仿宋_GB2312" w:eastAsia="仿宋_GB2312" w:hAnsi="仿宋" w:cs="仿宋"/>
          <w:b/>
          <w:bCs/>
          <w:sz w:val="28"/>
          <w:szCs w:val="28"/>
        </w:rPr>
      </w:pPr>
    </w:p>
    <w:p w:rsidR="00A33952" w:rsidRDefault="00A33952">
      <w:pPr>
        <w:spacing w:line="520" w:lineRule="exact"/>
        <w:rPr>
          <w:rFonts w:ascii="仿宋_GB2312" w:eastAsia="仿宋_GB2312" w:hAnsi="仿宋" w:cs="仿宋"/>
          <w:b/>
          <w:bCs/>
          <w:sz w:val="28"/>
          <w:szCs w:val="28"/>
        </w:rPr>
      </w:pPr>
    </w:p>
    <w:p w:rsidR="00A33952" w:rsidRDefault="006C722D">
      <w:pPr>
        <w:spacing w:line="520" w:lineRule="exact"/>
        <w:jc w:val="center"/>
        <w:rPr>
          <w:rFonts w:ascii="仿宋_GB2312" w:eastAsia="仿宋_GB2312" w:cs="仿宋_GB2312"/>
          <w:color w:val="000000" w:themeColor="text1"/>
          <w:sz w:val="28"/>
          <w:szCs w:val="28"/>
        </w:rPr>
      </w:pPr>
      <w:r>
        <w:rPr>
          <w:rFonts w:ascii="仿宋_GB2312" w:eastAsia="仿宋_GB2312" w:cs="仿宋_GB2312" w:hint="eastAsia"/>
          <w:sz w:val="28"/>
          <w:szCs w:val="28"/>
        </w:rPr>
        <w:t>2017年第24期</w:t>
      </w:r>
    </w:p>
    <w:p w:rsidR="00A33952" w:rsidRDefault="00A33952">
      <w:pPr>
        <w:tabs>
          <w:tab w:val="left" w:pos="690"/>
        </w:tabs>
        <w:spacing w:line="520" w:lineRule="exact"/>
        <w:jc w:val="center"/>
        <w:rPr>
          <w:rFonts w:ascii="仿宋_GB2312" w:eastAsia="仿宋_GB2312" w:hAnsi="仿宋" w:cs="仿宋"/>
          <w:b/>
          <w:bCs/>
          <w:color w:val="000000" w:themeColor="text1"/>
          <w:sz w:val="28"/>
          <w:szCs w:val="28"/>
        </w:rPr>
      </w:pPr>
    </w:p>
    <w:p w:rsidR="00A33952" w:rsidRDefault="00A905A4">
      <w:pPr>
        <w:spacing w:line="520" w:lineRule="exact"/>
        <w:rPr>
          <w:rFonts w:ascii="仿宋_GB2312" w:eastAsia="仿宋_GB2312"/>
          <w:color w:val="000000" w:themeColor="text1"/>
          <w:sz w:val="28"/>
          <w:szCs w:val="28"/>
        </w:rPr>
      </w:pPr>
      <w:r>
        <w:rPr>
          <w:rFonts w:ascii="仿宋_GB2312" w:eastAsia="仿宋_GB2312"/>
          <w:color w:val="000000" w:themeColor="text1"/>
          <w:sz w:val="28"/>
          <w:szCs w:val="28"/>
        </w:rPr>
        <w:pict>
          <v:line id="Line 3" o:spid="_x0000_s2051" style="position:absolute;left:0;text-align:left;z-index:251661312;mso-position-horizontal:center" from="0,33.95pt" to="425.2pt,33.95pt" o:allowincell="f" strokeweight="2.25pt">
            <w10:anchorlock/>
          </v:line>
        </w:pict>
      </w:r>
      <w:r w:rsidR="006C722D">
        <w:rPr>
          <w:rFonts w:ascii="仿宋_GB2312" w:eastAsia="仿宋_GB2312" w:hint="eastAsia"/>
          <w:color w:val="000000" w:themeColor="text1"/>
          <w:sz w:val="28"/>
          <w:szCs w:val="28"/>
        </w:rPr>
        <w:t xml:space="preserve">           </w:t>
      </w:r>
    </w:p>
    <w:p w:rsidR="00A33952" w:rsidRDefault="00A33952">
      <w:pPr>
        <w:tabs>
          <w:tab w:val="left" w:pos="690"/>
        </w:tabs>
        <w:spacing w:line="520" w:lineRule="exact"/>
        <w:jc w:val="center"/>
        <w:rPr>
          <w:rFonts w:ascii="仿宋_GB2312" w:eastAsia="仿宋_GB2312" w:hAnsi="仿宋" w:cs="仿宋"/>
          <w:b/>
          <w:bCs/>
          <w:color w:val="000000" w:themeColor="text1"/>
          <w:sz w:val="30"/>
          <w:szCs w:val="30"/>
        </w:rPr>
      </w:pPr>
    </w:p>
    <w:p w:rsidR="00A33952" w:rsidRPr="0093646D" w:rsidRDefault="006C722D" w:rsidP="0093646D">
      <w:pPr>
        <w:tabs>
          <w:tab w:val="left" w:pos="4605"/>
        </w:tabs>
        <w:adjustRightInd w:val="0"/>
        <w:snapToGrid w:val="0"/>
        <w:spacing w:line="520" w:lineRule="exact"/>
        <w:ind w:firstLineChars="200" w:firstLine="602"/>
        <w:jc w:val="left"/>
        <w:rPr>
          <w:rFonts w:ascii="仿宋" w:eastAsia="仿宋" w:hAnsi="仿宋" w:cs="仿宋"/>
          <w:b/>
          <w:bCs/>
          <w:color w:val="000000" w:themeColor="text1"/>
          <w:sz w:val="30"/>
          <w:szCs w:val="30"/>
        </w:rPr>
      </w:pPr>
      <w:r w:rsidRPr="0093646D">
        <w:rPr>
          <w:rFonts w:ascii="仿宋" w:eastAsia="仿宋" w:hAnsi="仿宋" w:cs="仿宋" w:hint="eastAsia"/>
          <w:b/>
          <w:bCs/>
          <w:color w:val="000000" w:themeColor="text1"/>
          <w:sz w:val="30"/>
          <w:szCs w:val="30"/>
        </w:rPr>
        <w:t>一、国际资本市场热点问题</w:t>
      </w:r>
    </w:p>
    <w:p w:rsidR="0093646D" w:rsidRPr="0093646D" w:rsidRDefault="0093646D" w:rsidP="0093646D">
      <w:pPr>
        <w:spacing w:line="520" w:lineRule="exact"/>
        <w:ind w:firstLineChars="200" w:firstLine="602"/>
        <w:rPr>
          <w:rFonts w:ascii="仿宋" w:eastAsia="仿宋" w:hAnsi="仿宋" w:cs="宋体"/>
          <w:b/>
          <w:bCs/>
          <w:color w:val="000000" w:themeColor="text1"/>
          <w:sz w:val="30"/>
          <w:szCs w:val="30"/>
        </w:rPr>
      </w:pPr>
      <w:r w:rsidRPr="0093646D">
        <w:rPr>
          <w:rFonts w:ascii="仿宋" w:eastAsia="仿宋" w:hAnsi="仿宋" w:cs="宋体" w:hint="eastAsia"/>
          <w:b/>
          <w:bCs/>
          <w:color w:val="000000" w:themeColor="text1"/>
          <w:sz w:val="30"/>
          <w:szCs w:val="30"/>
        </w:rPr>
        <w:t>(</w:t>
      </w:r>
      <w:proofErr w:type="gramStart"/>
      <w:r>
        <w:rPr>
          <w:rFonts w:ascii="仿宋" w:eastAsia="仿宋" w:hAnsi="仿宋" w:cs="宋体" w:hint="eastAsia"/>
          <w:b/>
          <w:bCs/>
          <w:color w:val="000000" w:themeColor="text1"/>
          <w:sz w:val="30"/>
          <w:szCs w:val="30"/>
        </w:rPr>
        <w:t>一</w:t>
      </w:r>
      <w:proofErr w:type="gramEnd"/>
      <w:r w:rsidRPr="0093646D">
        <w:rPr>
          <w:rFonts w:ascii="仿宋" w:eastAsia="仿宋" w:hAnsi="仿宋" w:cs="宋体" w:hint="eastAsia"/>
          <w:b/>
          <w:bCs/>
          <w:color w:val="000000" w:themeColor="text1"/>
          <w:sz w:val="30"/>
          <w:szCs w:val="30"/>
        </w:rPr>
        <w:t>)美国共和党最终版税改法案已获得足够票数通过</w:t>
      </w:r>
    </w:p>
    <w:p w:rsidR="0093646D" w:rsidRPr="0093646D" w:rsidRDefault="0093646D" w:rsidP="0093646D">
      <w:pPr>
        <w:spacing w:line="520" w:lineRule="exact"/>
        <w:ind w:firstLine="601"/>
        <w:rPr>
          <w:rFonts w:ascii="仿宋" w:eastAsia="仿宋" w:hAnsi="仿宋" w:cs="宋体"/>
          <w:color w:val="000000" w:themeColor="text1"/>
          <w:sz w:val="30"/>
          <w:szCs w:val="30"/>
        </w:rPr>
      </w:pPr>
      <w:proofErr w:type="gramStart"/>
      <w:r w:rsidRPr="0093646D">
        <w:rPr>
          <w:rFonts w:ascii="仿宋" w:eastAsia="仿宋" w:hAnsi="仿宋" w:cs="宋体" w:hint="eastAsia"/>
          <w:color w:val="000000" w:themeColor="text1"/>
          <w:sz w:val="30"/>
          <w:szCs w:val="30"/>
        </w:rPr>
        <w:t>据财联社</w:t>
      </w:r>
      <w:proofErr w:type="gramEnd"/>
      <w:r w:rsidRPr="0093646D">
        <w:rPr>
          <w:rFonts w:ascii="仿宋" w:eastAsia="仿宋" w:hAnsi="仿宋" w:cs="宋体" w:hint="eastAsia"/>
          <w:color w:val="000000" w:themeColor="text1"/>
          <w:sz w:val="30"/>
          <w:szCs w:val="30"/>
        </w:rPr>
        <w:t>12月21日报道，美国共和党最终版税改法案再次在众议院获得足够票数通过，议案将交由总统特朗普签署后生效。最终票数为224票赞成，201票反对。外界预计本次税改将触发美国30年来最大规模税务调整。与最初版本相比，税改最终方案做出某些让步，但仍达到其全面减税、令美国企业税收系统更加接近其他国家的目标。税改主要内容包括，个人所得税最高税率从39.6%降至37%；企业税最高税率从35%大幅降至21%。这也是美国自1986年以来进行的首次全面税改，本次税改从共和党11月初首次推出，到12月中旬通过最终方案，仅耗时一个多月，与1986年税改耗时将近一年相比，推进的速度可谓神速。</w:t>
      </w:r>
    </w:p>
    <w:p w:rsidR="0093646D" w:rsidRPr="0093646D" w:rsidRDefault="0093646D" w:rsidP="0093646D">
      <w:pPr>
        <w:adjustRightInd w:val="0"/>
        <w:snapToGrid w:val="0"/>
        <w:spacing w:line="520" w:lineRule="exact"/>
        <w:ind w:firstLineChars="196" w:firstLine="590"/>
        <w:rPr>
          <w:rFonts w:ascii="仿宋" w:eastAsia="仿宋" w:hAnsi="仿宋" w:cs="仿宋"/>
          <w:b/>
          <w:bCs/>
          <w:color w:val="000000" w:themeColor="text1"/>
          <w:kern w:val="0"/>
          <w:sz w:val="30"/>
          <w:szCs w:val="30"/>
        </w:rPr>
      </w:pPr>
      <w:r>
        <w:rPr>
          <w:rFonts w:ascii="仿宋" w:eastAsia="仿宋" w:hAnsi="仿宋" w:cs="仿宋" w:hint="eastAsia"/>
          <w:b/>
          <w:color w:val="000000" w:themeColor="text1"/>
          <w:kern w:val="0"/>
          <w:sz w:val="30"/>
          <w:szCs w:val="30"/>
        </w:rPr>
        <w:t>（二</w:t>
      </w:r>
      <w:r w:rsidRPr="0093646D">
        <w:rPr>
          <w:rFonts w:ascii="仿宋" w:eastAsia="仿宋" w:hAnsi="仿宋" w:cs="仿宋" w:hint="eastAsia"/>
          <w:b/>
          <w:color w:val="000000" w:themeColor="text1"/>
          <w:kern w:val="0"/>
          <w:sz w:val="30"/>
          <w:szCs w:val="30"/>
        </w:rPr>
        <w:t>）</w:t>
      </w:r>
      <w:r w:rsidRPr="0093646D">
        <w:rPr>
          <w:rFonts w:ascii="仿宋" w:eastAsia="仿宋" w:hAnsi="仿宋" w:cs="仿宋" w:hint="eastAsia"/>
          <w:b/>
          <w:bCs/>
          <w:color w:val="000000" w:themeColor="text1"/>
          <w:kern w:val="0"/>
          <w:sz w:val="30"/>
          <w:szCs w:val="30"/>
        </w:rPr>
        <w:t>高盛：就业闲置将被消除，美联储已进入货币紧缩时代</w:t>
      </w:r>
    </w:p>
    <w:p w:rsidR="0093646D" w:rsidRPr="0093646D" w:rsidRDefault="0093646D" w:rsidP="0093646D">
      <w:pPr>
        <w:adjustRightInd w:val="0"/>
        <w:snapToGrid w:val="0"/>
        <w:spacing w:line="520" w:lineRule="exact"/>
        <w:ind w:firstLineChars="200" w:firstLine="600"/>
        <w:rPr>
          <w:rFonts w:ascii="仿宋" w:eastAsia="仿宋" w:hAnsi="仿宋"/>
          <w:bCs/>
          <w:color w:val="000000" w:themeColor="text1"/>
          <w:sz w:val="30"/>
          <w:szCs w:val="30"/>
        </w:rPr>
      </w:pPr>
      <w:r w:rsidRPr="0093646D">
        <w:rPr>
          <w:rFonts w:ascii="仿宋" w:eastAsia="仿宋" w:hAnsi="仿宋" w:cs="仿宋" w:hint="eastAsia"/>
          <w:color w:val="000000" w:themeColor="text1"/>
          <w:kern w:val="0"/>
          <w:sz w:val="30"/>
          <w:szCs w:val="30"/>
        </w:rPr>
        <w:t>汇通网12月24日报道，高盛预计美联储的货币政策紧缩时代已经到来。随着美国就业市场的闲置空间在2019年得到根本性的消除，同时美国总统特朗普的减税政策将在2018年刺激美</w:t>
      </w:r>
      <w:r w:rsidRPr="0093646D">
        <w:rPr>
          <w:rFonts w:ascii="仿宋" w:eastAsia="仿宋" w:hAnsi="仿宋" w:cs="仿宋" w:hint="eastAsia"/>
          <w:color w:val="000000" w:themeColor="text1"/>
          <w:kern w:val="0"/>
          <w:sz w:val="30"/>
          <w:szCs w:val="30"/>
        </w:rPr>
        <w:lastRenderedPageBreak/>
        <w:t>国经济的方方面面，这将给予美联储新主席更多加息的理由。高盛首席经济学家杨·哈祖斯(Jan Hatzius)在一份报告中提到，预计美国经济持续强劲增长的势头将消除劳动力市场剩余的闲置空间，并将推动经济的其他方面进一步朝着充分就业的方向前进，这将为进一步实行货币紧缩政策提供稳定的推动力。</w:t>
      </w:r>
    </w:p>
    <w:p w:rsidR="0093646D" w:rsidRPr="0093646D" w:rsidRDefault="0093646D" w:rsidP="0093646D">
      <w:pPr>
        <w:spacing w:line="520" w:lineRule="exact"/>
        <w:ind w:firstLineChars="250" w:firstLine="753"/>
        <w:rPr>
          <w:rFonts w:ascii="仿宋" w:eastAsia="仿宋" w:hAnsi="仿宋" w:cs="宋体"/>
          <w:b/>
          <w:bCs/>
          <w:color w:val="000000" w:themeColor="text1"/>
          <w:sz w:val="30"/>
          <w:szCs w:val="30"/>
        </w:rPr>
      </w:pPr>
      <w:r w:rsidRPr="0093646D">
        <w:rPr>
          <w:rFonts w:ascii="仿宋" w:eastAsia="仿宋" w:hAnsi="仿宋" w:cs="宋体" w:hint="eastAsia"/>
          <w:b/>
          <w:bCs/>
          <w:color w:val="000000" w:themeColor="text1"/>
          <w:sz w:val="30"/>
          <w:szCs w:val="30"/>
        </w:rPr>
        <w:t>（</w:t>
      </w:r>
      <w:r>
        <w:rPr>
          <w:rFonts w:ascii="仿宋" w:eastAsia="仿宋" w:hAnsi="仿宋" w:cs="宋体" w:hint="eastAsia"/>
          <w:b/>
          <w:bCs/>
          <w:color w:val="000000" w:themeColor="text1"/>
          <w:sz w:val="30"/>
          <w:szCs w:val="30"/>
        </w:rPr>
        <w:t>三</w:t>
      </w:r>
      <w:r w:rsidRPr="0093646D">
        <w:rPr>
          <w:rFonts w:ascii="仿宋" w:eastAsia="仿宋" w:hAnsi="仿宋" w:cs="宋体" w:hint="eastAsia"/>
          <w:b/>
          <w:bCs/>
          <w:color w:val="000000" w:themeColor="text1"/>
          <w:sz w:val="30"/>
          <w:szCs w:val="30"/>
        </w:rPr>
        <w:t>）美联储卡普兰：预计2018年将加息三次</w:t>
      </w:r>
    </w:p>
    <w:p w:rsidR="0093646D" w:rsidRPr="0093646D" w:rsidRDefault="0093646D" w:rsidP="0093646D">
      <w:pPr>
        <w:spacing w:line="520" w:lineRule="exact"/>
        <w:rPr>
          <w:rFonts w:ascii="仿宋" w:eastAsia="仿宋" w:hAnsi="仿宋" w:cs="仿宋"/>
          <w:color w:val="000000" w:themeColor="text1"/>
          <w:sz w:val="30"/>
          <w:szCs w:val="30"/>
        </w:rPr>
      </w:pPr>
      <w:r w:rsidRPr="0093646D">
        <w:rPr>
          <w:rFonts w:ascii="仿宋" w:eastAsia="仿宋" w:hAnsi="仿宋" w:cs="宋体" w:hint="eastAsia"/>
          <w:color w:val="000000" w:themeColor="text1"/>
          <w:sz w:val="30"/>
          <w:szCs w:val="30"/>
        </w:rPr>
        <w:t xml:space="preserve">    财联社12月19日报道，美联储卡普兰（2017年FOMC票委）于当日发表声明称，预计2018年将加息三次。卡普兰认为，税改计划上调了对2018-2019年的经济增速预期，但美联储移除宽松仍将会是渐进有耐性的。据CME“美联储观察”指出，美联储2018年3月加息25个基点至1.5%-1.75%区间的概率为50.7%，明年6月至该区间概率为46.8%。</w:t>
      </w:r>
    </w:p>
    <w:p w:rsidR="0093646D" w:rsidRPr="0093646D" w:rsidRDefault="0093646D" w:rsidP="0093646D">
      <w:pPr>
        <w:tabs>
          <w:tab w:val="left" w:pos="4605"/>
        </w:tabs>
        <w:adjustRightInd w:val="0"/>
        <w:snapToGrid w:val="0"/>
        <w:spacing w:line="520" w:lineRule="exact"/>
        <w:ind w:firstLineChars="200" w:firstLine="602"/>
        <w:jc w:val="left"/>
        <w:rPr>
          <w:rFonts w:ascii="仿宋" w:eastAsia="仿宋" w:hAnsi="仿宋" w:cs="仿宋"/>
          <w:b/>
          <w:bCs/>
          <w:color w:val="000000" w:themeColor="text1"/>
          <w:sz w:val="30"/>
          <w:szCs w:val="30"/>
        </w:rPr>
      </w:pPr>
      <w:r w:rsidRPr="0093646D">
        <w:rPr>
          <w:rFonts w:ascii="仿宋" w:eastAsia="仿宋" w:hAnsi="仿宋" w:cs="仿宋" w:hint="eastAsia"/>
          <w:b/>
          <w:bCs/>
          <w:color w:val="000000" w:themeColor="text1"/>
          <w:kern w:val="0"/>
          <w:sz w:val="30"/>
          <w:szCs w:val="30"/>
        </w:rPr>
        <w:t>（四）美联储耶伦：比特币是一种高度投机性资产</w:t>
      </w:r>
    </w:p>
    <w:p w:rsidR="0093646D" w:rsidRPr="0093646D" w:rsidRDefault="0093646D" w:rsidP="0093646D">
      <w:pPr>
        <w:adjustRightInd w:val="0"/>
        <w:snapToGrid w:val="0"/>
        <w:spacing w:line="520" w:lineRule="exact"/>
        <w:ind w:firstLineChars="200" w:firstLine="600"/>
        <w:rPr>
          <w:rFonts w:ascii="仿宋" w:eastAsia="仿宋" w:hAnsi="仿宋" w:cs="仿宋"/>
          <w:color w:val="000000" w:themeColor="text1"/>
          <w:kern w:val="0"/>
          <w:sz w:val="30"/>
          <w:szCs w:val="30"/>
        </w:rPr>
      </w:pPr>
      <w:proofErr w:type="gramStart"/>
      <w:r w:rsidRPr="0093646D">
        <w:rPr>
          <w:rFonts w:ascii="仿宋" w:eastAsia="仿宋" w:hAnsi="仿宋" w:cs="仿宋" w:hint="eastAsia"/>
          <w:color w:val="000000" w:themeColor="text1"/>
          <w:kern w:val="0"/>
          <w:sz w:val="30"/>
          <w:szCs w:val="30"/>
        </w:rPr>
        <w:t>凤凰网</w:t>
      </w:r>
      <w:proofErr w:type="gramEnd"/>
      <w:r w:rsidRPr="0093646D">
        <w:rPr>
          <w:rFonts w:ascii="仿宋" w:eastAsia="仿宋" w:hAnsi="仿宋" w:cs="仿宋" w:hint="eastAsia"/>
          <w:color w:val="000000" w:themeColor="text1"/>
          <w:kern w:val="0"/>
          <w:sz w:val="30"/>
          <w:szCs w:val="30"/>
        </w:rPr>
        <w:t>12月15日报道，由于比特</w:t>
      </w:r>
      <w:proofErr w:type="gramStart"/>
      <w:r w:rsidRPr="0093646D">
        <w:rPr>
          <w:rFonts w:ascii="仿宋" w:eastAsia="仿宋" w:hAnsi="仿宋" w:cs="仿宋" w:hint="eastAsia"/>
          <w:color w:val="000000" w:themeColor="text1"/>
          <w:kern w:val="0"/>
          <w:sz w:val="30"/>
          <w:szCs w:val="30"/>
        </w:rPr>
        <w:t>币近期</w:t>
      </w:r>
      <w:proofErr w:type="gramEnd"/>
      <w:r w:rsidRPr="0093646D">
        <w:rPr>
          <w:rFonts w:ascii="仿宋" w:eastAsia="仿宋" w:hAnsi="仿宋" w:cs="仿宋" w:hint="eastAsia"/>
          <w:color w:val="000000" w:themeColor="text1"/>
          <w:kern w:val="0"/>
          <w:sz w:val="30"/>
          <w:szCs w:val="30"/>
        </w:rPr>
        <w:t>飙涨及比特币期货面世，越来越多的人开始关注比特币。在12月13日美联储12月决议过后的新闻发布会上，美联储主席耶伦也对比特</w:t>
      </w:r>
      <w:proofErr w:type="gramStart"/>
      <w:r w:rsidRPr="0093646D">
        <w:rPr>
          <w:rFonts w:ascii="仿宋" w:eastAsia="仿宋" w:hAnsi="仿宋" w:cs="仿宋" w:hint="eastAsia"/>
          <w:color w:val="000000" w:themeColor="text1"/>
          <w:kern w:val="0"/>
          <w:sz w:val="30"/>
          <w:szCs w:val="30"/>
        </w:rPr>
        <w:t>币发表</w:t>
      </w:r>
      <w:proofErr w:type="gramEnd"/>
      <w:r w:rsidRPr="0093646D">
        <w:rPr>
          <w:rFonts w:ascii="仿宋" w:eastAsia="仿宋" w:hAnsi="仿宋" w:cs="仿宋" w:hint="eastAsia"/>
          <w:color w:val="000000" w:themeColor="text1"/>
          <w:kern w:val="0"/>
          <w:sz w:val="30"/>
          <w:szCs w:val="30"/>
        </w:rPr>
        <w:t>了一定的看法。耶伦指出，比特币是一种高度投机性资产。在支付系统中，比特币的比重非常低，且比特</w:t>
      </w:r>
      <w:proofErr w:type="gramStart"/>
      <w:r w:rsidRPr="0093646D">
        <w:rPr>
          <w:rFonts w:ascii="仿宋" w:eastAsia="仿宋" w:hAnsi="仿宋" w:cs="仿宋" w:hint="eastAsia"/>
          <w:color w:val="000000" w:themeColor="text1"/>
          <w:kern w:val="0"/>
          <w:sz w:val="30"/>
          <w:szCs w:val="30"/>
        </w:rPr>
        <w:t>币不是</w:t>
      </w:r>
      <w:proofErr w:type="gramEnd"/>
      <w:r w:rsidRPr="0093646D">
        <w:rPr>
          <w:rFonts w:ascii="仿宋" w:eastAsia="仿宋" w:hAnsi="仿宋" w:cs="仿宋" w:hint="eastAsia"/>
          <w:color w:val="000000" w:themeColor="text1"/>
          <w:kern w:val="0"/>
          <w:sz w:val="30"/>
          <w:szCs w:val="30"/>
        </w:rPr>
        <w:t>一个稳定的价值来源，它不是法定货币。她还提及了逃税和洗钱问题，但她指出，这并不是美联储的责任。耶伦表示，引入数字货币的好处有限，但一些央行正在研究，同时补充称，美联储并没有严肃考虑采用数字货币。</w:t>
      </w:r>
    </w:p>
    <w:p w:rsidR="00A33952" w:rsidRPr="0093646D" w:rsidRDefault="0093646D" w:rsidP="0093646D">
      <w:pPr>
        <w:adjustRightInd w:val="0"/>
        <w:snapToGrid w:val="0"/>
        <w:spacing w:line="520" w:lineRule="exact"/>
        <w:ind w:firstLineChars="196" w:firstLine="590"/>
        <w:rPr>
          <w:rFonts w:ascii="仿宋" w:eastAsia="仿宋" w:hAnsi="仿宋" w:cs="仿宋"/>
          <w:b/>
          <w:bCs/>
          <w:color w:val="0D0D0D" w:themeColor="text1" w:themeTint="F2"/>
          <w:kern w:val="0"/>
          <w:sz w:val="30"/>
          <w:szCs w:val="30"/>
        </w:rPr>
      </w:pPr>
      <w:r>
        <w:rPr>
          <w:rFonts w:ascii="仿宋" w:eastAsia="仿宋" w:hAnsi="仿宋" w:cs="仿宋" w:hint="eastAsia"/>
          <w:b/>
          <w:bCs/>
          <w:color w:val="0D0D0D" w:themeColor="text1" w:themeTint="F2"/>
          <w:kern w:val="0"/>
          <w:sz w:val="30"/>
          <w:szCs w:val="30"/>
        </w:rPr>
        <w:t>（五</w:t>
      </w:r>
      <w:r w:rsidR="006C722D" w:rsidRPr="0093646D">
        <w:rPr>
          <w:rFonts w:ascii="仿宋" w:eastAsia="仿宋" w:hAnsi="仿宋" w:cs="仿宋" w:hint="eastAsia"/>
          <w:b/>
          <w:bCs/>
          <w:color w:val="0D0D0D" w:themeColor="text1" w:themeTint="F2"/>
          <w:kern w:val="0"/>
          <w:sz w:val="30"/>
          <w:szCs w:val="30"/>
        </w:rPr>
        <w:t>）英国央行调查显示英国人对</w:t>
      </w:r>
      <w:proofErr w:type="gramStart"/>
      <w:r w:rsidR="006C722D" w:rsidRPr="0093646D">
        <w:rPr>
          <w:rFonts w:ascii="仿宋" w:eastAsia="仿宋" w:hAnsi="仿宋" w:cs="仿宋" w:hint="eastAsia"/>
          <w:b/>
          <w:bCs/>
          <w:color w:val="0D0D0D" w:themeColor="text1" w:themeTint="F2"/>
          <w:kern w:val="0"/>
          <w:sz w:val="30"/>
          <w:szCs w:val="30"/>
        </w:rPr>
        <w:t>退欧影响</w:t>
      </w:r>
      <w:proofErr w:type="gramEnd"/>
      <w:r w:rsidR="006C722D" w:rsidRPr="0093646D">
        <w:rPr>
          <w:rFonts w:ascii="仿宋" w:eastAsia="仿宋" w:hAnsi="仿宋" w:cs="仿宋" w:hint="eastAsia"/>
          <w:b/>
          <w:bCs/>
          <w:color w:val="0D0D0D" w:themeColor="text1" w:themeTint="F2"/>
          <w:kern w:val="0"/>
          <w:sz w:val="30"/>
          <w:szCs w:val="30"/>
        </w:rPr>
        <w:t>越来越悲观</w:t>
      </w:r>
    </w:p>
    <w:p w:rsidR="00A33952" w:rsidRPr="0093646D" w:rsidRDefault="006C722D" w:rsidP="0093646D">
      <w:pPr>
        <w:adjustRightInd w:val="0"/>
        <w:snapToGrid w:val="0"/>
        <w:spacing w:line="520" w:lineRule="exact"/>
        <w:ind w:firstLineChars="196" w:firstLine="588"/>
        <w:rPr>
          <w:rFonts w:ascii="仿宋" w:eastAsia="仿宋" w:hAnsi="仿宋" w:cs="仿宋"/>
          <w:color w:val="000000" w:themeColor="text1"/>
          <w:kern w:val="0"/>
          <w:sz w:val="30"/>
          <w:szCs w:val="30"/>
        </w:rPr>
      </w:pPr>
      <w:r w:rsidRPr="0093646D">
        <w:rPr>
          <w:rFonts w:ascii="仿宋" w:eastAsia="仿宋" w:hAnsi="仿宋" w:cs="仿宋" w:hint="eastAsia"/>
          <w:color w:val="0D0D0D" w:themeColor="text1" w:themeTint="F2"/>
          <w:kern w:val="0"/>
          <w:sz w:val="30"/>
          <w:szCs w:val="30"/>
        </w:rPr>
        <w:t>和讯网12月16日报道，英国央行(Bank of England)12月15日一项调查发现，英国公众对英国退欧的经济影响越来越悲观。目前约35%的家庭认为，英国脱欧将在未来12个月造成损</w:t>
      </w:r>
      <w:r w:rsidRPr="0093646D">
        <w:rPr>
          <w:rFonts w:ascii="仿宋" w:eastAsia="仿宋" w:hAnsi="仿宋" w:cs="仿宋" w:hint="eastAsia"/>
          <w:color w:val="0D0D0D" w:themeColor="text1" w:themeTint="F2"/>
          <w:kern w:val="0"/>
          <w:sz w:val="30"/>
          <w:szCs w:val="30"/>
        </w:rPr>
        <w:lastRenderedPageBreak/>
        <w:t>害，高于2016年6月公投后的20%。预计英国脱欧会导致自己家庭支出增加的比例，相对于2016年下半年有所上升。但英国央行表示，这可能反映出今年通胀加剧的情况，原因是脱欧公投那天晚上英镑汇率暴跌。由于对未来贸易安排的不确定性，自脱欧公投以来，企业投资疲弱，家庭消费实际上是去年整体产出增长的唯一推动力。但英国央行货币政策委员会表示，之前脱欧谈判的突破，使英欧双方的贸易谈判得以开启，这可能在未来几个月提振</w:t>
      </w:r>
      <w:r w:rsidRPr="0093646D">
        <w:rPr>
          <w:rFonts w:ascii="仿宋" w:eastAsia="仿宋" w:hAnsi="仿宋" w:cs="仿宋" w:hint="eastAsia"/>
          <w:color w:val="000000" w:themeColor="text1"/>
          <w:kern w:val="0"/>
          <w:sz w:val="30"/>
          <w:szCs w:val="30"/>
        </w:rPr>
        <w:t>国内消费者信心。</w:t>
      </w:r>
    </w:p>
    <w:p w:rsidR="00A33952" w:rsidRPr="0093646D" w:rsidRDefault="006C722D" w:rsidP="0093646D">
      <w:pPr>
        <w:pStyle w:val="7"/>
        <w:spacing w:line="520" w:lineRule="exact"/>
        <w:ind w:firstLineChars="200" w:firstLine="602"/>
        <w:rPr>
          <w:rFonts w:ascii="仿宋" w:eastAsia="仿宋" w:hAnsi="仿宋" w:cs="仿宋"/>
          <w:b/>
          <w:color w:val="000000" w:themeColor="text1"/>
          <w:sz w:val="30"/>
          <w:szCs w:val="30"/>
        </w:rPr>
      </w:pPr>
      <w:r w:rsidRPr="0093646D">
        <w:rPr>
          <w:rFonts w:ascii="仿宋" w:eastAsia="仿宋" w:hAnsi="仿宋" w:cs="仿宋" w:hint="eastAsia"/>
          <w:b/>
          <w:color w:val="000000" w:themeColor="text1"/>
          <w:sz w:val="30"/>
          <w:szCs w:val="30"/>
        </w:rPr>
        <w:t>(</w:t>
      </w:r>
      <w:r w:rsidR="0093646D">
        <w:rPr>
          <w:rFonts w:ascii="仿宋" w:eastAsia="仿宋" w:hAnsi="仿宋" w:cs="仿宋" w:hint="eastAsia"/>
          <w:b/>
          <w:color w:val="000000" w:themeColor="text1"/>
          <w:sz w:val="30"/>
          <w:szCs w:val="30"/>
        </w:rPr>
        <w:t>六</w:t>
      </w:r>
      <w:r w:rsidRPr="0093646D">
        <w:rPr>
          <w:rFonts w:ascii="仿宋" w:eastAsia="仿宋" w:hAnsi="仿宋" w:cs="仿宋" w:hint="eastAsia"/>
          <w:b/>
          <w:color w:val="000000" w:themeColor="text1"/>
          <w:sz w:val="30"/>
          <w:szCs w:val="30"/>
        </w:rPr>
        <w:t>)经合组织：中英将成立首期10亿美元投资基金 支持“一带一路”倡议</w:t>
      </w:r>
    </w:p>
    <w:p w:rsidR="00A33952" w:rsidRPr="0093646D" w:rsidRDefault="006C722D" w:rsidP="0093646D">
      <w:pPr>
        <w:pStyle w:val="7"/>
        <w:spacing w:line="520" w:lineRule="exact"/>
        <w:ind w:firstLineChars="200" w:firstLine="600"/>
        <w:rPr>
          <w:rFonts w:ascii="仿宋" w:eastAsia="仿宋" w:hAnsi="仿宋" w:cs="仿宋"/>
          <w:color w:val="000000" w:themeColor="text1"/>
          <w:sz w:val="30"/>
          <w:szCs w:val="30"/>
        </w:rPr>
      </w:pPr>
      <w:r w:rsidRPr="0093646D">
        <w:rPr>
          <w:rFonts w:ascii="仿宋" w:eastAsia="仿宋" w:hAnsi="仿宋" w:cs="仿宋" w:hint="eastAsia"/>
          <w:color w:val="000000" w:themeColor="text1"/>
          <w:sz w:val="30"/>
          <w:szCs w:val="30"/>
        </w:rPr>
        <w:t>新华网12月16日报道，第九次中英经济财金对话当日在京举行，双方就深化经济财金合作、为中英关系“黄金时代”注入新动力达成一系列新共识，双方欢迎成立首期10亿美元中英双边投资基金的提议，以创造就业、促进贸易，支持“一带一路”倡议。该基金将由中英机构牵头，以商业化和市场化为基础建立和运作，投资于中、英及第三方市场的创新、可持续和消费驱动型增长机会。中方欢迎英国出口融资署宣布其有能力支持规模不高于250亿英镑的新增业务，以支持“一带一路”亚洲项目。双方将加强在基础设施互联互通、装备制造、金融、投资等方面的务实合作，并探讨在“一带一路”沿线开展第三方市场合作，在中英面向21世纪全球全面战略伙伴关系框架下打造积极可持续的贸易、经济发展和安全成果。</w:t>
      </w:r>
    </w:p>
    <w:p w:rsidR="00A33952" w:rsidRPr="0093646D" w:rsidRDefault="0093646D" w:rsidP="0093646D">
      <w:pPr>
        <w:adjustRightInd w:val="0"/>
        <w:snapToGrid w:val="0"/>
        <w:spacing w:line="520" w:lineRule="exact"/>
        <w:ind w:firstLineChars="200" w:firstLine="602"/>
        <w:rPr>
          <w:rFonts w:ascii="仿宋" w:eastAsia="仿宋" w:hAnsi="仿宋" w:cs="仿宋"/>
          <w:b/>
          <w:bCs/>
          <w:color w:val="000000" w:themeColor="text1"/>
          <w:kern w:val="0"/>
          <w:sz w:val="30"/>
          <w:szCs w:val="30"/>
        </w:rPr>
      </w:pPr>
      <w:r>
        <w:rPr>
          <w:rFonts w:ascii="仿宋" w:eastAsia="仿宋" w:hAnsi="仿宋" w:cs="仿宋" w:hint="eastAsia"/>
          <w:b/>
          <w:bCs/>
          <w:color w:val="000000" w:themeColor="text1"/>
          <w:kern w:val="0"/>
          <w:sz w:val="30"/>
          <w:szCs w:val="30"/>
        </w:rPr>
        <w:t>（七</w:t>
      </w:r>
      <w:r w:rsidR="006C722D" w:rsidRPr="0093646D">
        <w:rPr>
          <w:rFonts w:ascii="仿宋" w:eastAsia="仿宋" w:hAnsi="仿宋" w:cs="仿宋" w:hint="eastAsia"/>
          <w:b/>
          <w:bCs/>
          <w:color w:val="000000" w:themeColor="text1"/>
          <w:kern w:val="0"/>
          <w:sz w:val="30"/>
          <w:szCs w:val="30"/>
        </w:rPr>
        <w:t>）野村证券：日银收紧政策面临四大阻力</w:t>
      </w:r>
    </w:p>
    <w:p w:rsidR="00A33952" w:rsidRPr="0093646D" w:rsidRDefault="006C722D" w:rsidP="0093646D">
      <w:pPr>
        <w:adjustRightInd w:val="0"/>
        <w:snapToGrid w:val="0"/>
        <w:spacing w:line="520" w:lineRule="exact"/>
        <w:ind w:firstLineChars="200" w:firstLine="600"/>
        <w:rPr>
          <w:rFonts w:ascii="仿宋" w:eastAsia="仿宋" w:hAnsi="仿宋" w:cs="仿宋"/>
          <w:color w:val="000000" w:themeColor="text1"/>
          <w:kern w:val="0"/>
          <w:sz w:val="30"/>
          <w:szCs w:val="30"/>
        </w:rPr>
      </w:pPr>
      <w:r w:rsidRPr="0093646D">
        <w:rPr>
          <w:rFonts w:ascii="仿宋" w:eastAsia="仿宋" w:hAnsi="仿宋" w:cs="仿宋" w:hint="eastAsia"/>
          <w:color w:val="000000" w:themeColor="text1"/>
          <w:kern w:val="0"/>
          <w:sz w:val="30"/>
          <w:szCs w:val="30"/>
        </w:rPr>
        <w:t>FX168财经12月22日报道，野村证券（Nomura Securities）经济学家团队指出，日本央行（BOJ）行长黑田东彦在21日的利率决议新闻发布会上仍保持了鸽派立场。黑田东彦重申“逆转利</w:t>
      </w:r>
      <w:r w:rsidRPr="0093646D">
        <w:rPr>
          <w:rFonts w:ascii="仿宋" w:eastAsia="仿宋" w:hAnsi="仿宋" w:cs="仿宋" w:hint="eastAsia"/>
          <w:color w:val="000000" w:themeColor="text1"/>
          <w:kern w:val="0"/>
          <w:sz w:val="30"/>
          <w:szCs w:val="30"/>
        </w:rPr>
        <w:lastRenderedPageBreak/>
        <w:t>率”是一个有意思的学术研究，他认为日本的金融中介没有受到损害，但对“逆转利率”的讨论不太可能导致日本央行很快改变货币政策。黑田东彦认为，日本央行的主要目标是实现2%的通胀目标，不会仅因为经济向好而升息。日本央行在黑田东彦的领导下还将召开两次货币政策会议，基于黑田东彦的鸽派立场，日本央行极有可能继续保持静默。野村证券认为，日本央行在收紧货币政策之前面临四大阻力：日本央行领导人的任命、春季工资谈判、自民党领导人大选和2019年9月加税的最终决议。</w:t>
      </w:r>
    </w:p>
    <w:p w:rsidR="00A33952" w:rsidRPr="0093646D" w:rsidRDefault="0093646D" w:rsidP="0093646D">
      <w:pPr>
        <w:spacing w:line="520" w:lineRule="exact"/>
        <w:ind w:firstLine="601"/>
        <w:rPr>
          <w:rFonts w:ascii="仿宋" w:eastAsia="仿宋" w:hAnsi="仿宋" w:cs="宋体"/>
          <w:b/>
          <w:color w:val="000000" w:themeColor="text1"/>
          <w:sz w:val="30"/>
          <w:szCs w:val="30"/>
        </w:rPr>
      </w:pPr>
      <w:r w:rsidRPr="0093646D">
        <w:rPr>
          <w:rFonts w:ascii="仿宋" w:eastAsia="仿宋" w:hAnsi="仿宋" w:cs="仿宋" w:hint="eastAsia"/>
          <w:b/>
          <w:color w:val="000000" w:themeColor="text1"/>
          <w:sz w:val="30"/>
          <w:szCs w:val="30"/>
        </w:rPr>
        <w:t xml:space="preserve"> </w:t>
      </w:r>
      <w:r w:rsidR="006C722D" w:rsidRPr="0093646D">
        <w:rPr>
          <w:rFonts w:ascii="仿宋" w:eastAsia="仿宋" w:hAnsi="仿宋" w:cs="仿宋" w:hint="eastAsia"/>
          <w:b/>
          <w:color w:val="000000" w:themeColor="text1"/>
          <w:sz w:val="30"/>
          <w:szCs w:val="30"/>
        </w:rPr>
        <w:t>(</w:t>
      </w:r>
      <w:r>
        <w:rPr>
          <w:rFonts w:ascii="仿宋" w:eastAsia="仿宋" w:hAnsi="仿宋" w:cs="仿宋" w:hint="eastAsia"/>
          <w:b/>
          <w:color w:val="000000" w:themeColor="text1"/>
          <w:sz w:val="30"/>
          <w:szCs w:val="30"/>
        </w:rPr>
        <w:t>八</w:t>
      </w:r>
      <w:r w:rsidR="006C722D" w:rsidRPr="0093646D">
        <w:rPr>
          <w:rFonts w:ascii="仿宋" w:eastAsia="仿宋" w:hAnsi="仿宋" w:cs="仿宋" w:hint="eastAsia"/>
          <w:b/>
          <w:color w:val="000000" w:themeColor="text1"/>
          <w:sz w:val="30"/>
          <w:szCs w:val="30"/>
        </w:rPr>
        <w:t>)澳洲联储纪要：经济前景信心增强，消费疲软仍是软肋</w:t>
      </w:r>
    </w:p>
    <w:p w:rsidR="00A33952" w:rsidRPr="0093646D" w:rsidRDefault="006C722D" w:rsidP="0093646D">
      <w:pPr>
        <w:pStyle w:val="7"/>
        <w:spacing w:line="520" w:lineRule="exact"/>
        <w:ind w:firstLine="601"/>
        <w:rPr>
          <w:rFonts w:ascii="仿宋" w:eastAsia="仿宋" w:hAnsi="仿宋" w:cs="仿宋"/>
          <w:color w:val="000000" w:themeColor="text1"/>
          <w:sz w:val="30"/>
          <w:szCs w:val="30"/>
        </w:rPr>
      </w:pPr>
      <w:r w:rsidRPr="0093646D">
        <w:rPr>
          <w:rFonts w:ascii="仿宋" w:eastAsia="仿宋" w:hAnsi="仿宋" w:cs="仿宋" w:hint="eastAsia"/>
          <w:color w:val="000000" w:themeColor="text1"/>
          <w:sz w:val="30"/>
          <w:szCs w:val="30"/>
        </w:rPr>
        <w:t>汇通网12月19日报道，澳洲联储公布12月会议纪要显示，近几个月澳洲联储对澳大利亚经济前景信心增强，但由于薪资增长缓慢及债务高企，消费者支出疲软仍是一个“重大风险”。会议纪要指出，家庭消费受到薪资增速放缓的拖累，经济及劳动力市场的强劲什么时候以及在多大程度上可以向更快的薪资增长及通胀传导，仍是未来经济前景要考虑的重要因素。当前薪资仅以2%的年增速上涨，这削弱了消费者的支出能力。实际上，2017年三季度，家庭消费仅上涨0.1%，是2008年以来的最小增幅。决策者通过再次权衡通胀低迷与创纪录高位的家庭债务之间的矛盾，将利率维持在1.5%不变，该利率已维持近一年半的时间，这是自上世纪90年代中期以来最长的利率稳定期。</w:t>
      </w:r>
    </w:p>
    <w:p w:rsidR="00A33952" w:rsidRPr="0093646D" w:rsidRDefault="006C722D" w:rsidP="0093646D">
      <w:pPr>
        <w:adjustRightInd w:val="0"/>
        <w:snapToGrid w:val="0"/>
        <w:spacing w:line="520" w:lineRule="exact"/>
        <w:ind w:firstLineChars="196" w:firstLine="590"/>
        <w:rPr>
          <w:rFonts w:ascii="仿宋" w:eastAsia="仿宋" w:hAnsi="仿宋" w:cs="仿宋"/>
          <w:b/>
          <w:bCs/>
          <w:color w:val="000000" w:themeColor="text1"/>
          <w:sz w:val="30"/>
          <w:szCs w:val="30"/>
        </w:rPr>
      </w:pPr>
      <w:r w:rsidRPr="0093646D">
        <w:rPr>
          <w:rFonts w:ascii="仿宋" w:eastAsia="仿宋" w:hAnsi="仿宋" w:cs="宋体" w:hint="eastAsia"/>
          <w:b/>
          <w:color w:val="000000" w:themeColor="text1"/>
          <w:sz w:val="30"/>
          <w:szCs w:val="30"/>
        </w:rPr>
        <w:t>（</w:t>
      </w:r>
      <w:r w:rsidR="0093646D">
        <w:rPr>
          <w:rFonts w:ascii="仿宋" w:eastAsia="仿宋" w:hAnsi="仿宋" w:cs="宋体" w:hint="eastAsia"/>
          <w:b/>
          <w:color w:val="000000" w:themeColor="text1"/>
          <w:sz w:val="30"/>
          <w:szCs w:val="30"/>
        </w:rPr>
        <w:t>九</w:t>
      </w:r>
      <w:r w:rsidRPr="0093646D">
        <w:rPr>
          <w:rFonts w:ascii="仿宋" w:eastAsia="仿宋" w:hAnsi="仿宋" w:cs="宋体" w:hint="eastAsia"/>
          <w:b/>
          <w:color w:val="000000" w:themeColor="text1"/>
          <w:sz w:val="30"/>
          <w:szCs w:val="30"/>
        </w:rPr>
        <w:t>）</w:t>
      </w:r>
      <w:r w:rsidRPr="0093646D">
        <w:rPr>
          <w:rFonts w:ascii="仿宋" w:eastAsia="仿宋" w:hAnsi="仿宋" w:cs="仿宋" w:hint="eastAsia"/>
          <w:b/>
          <w:color w:val="000000" w:themeColor="text1"/>
          <w:kern w:val="0"/>
          <w:sz w:val="30"/>
          <w:szCs w:val="30"/>
        </w:rPr>
        <w:t>瑞银</w:t>
      </w:r>
      <w:r w:rsidRPr="0093646D">
        <w:rPr>
          <w:rFonts w:ascii="仿宋" w:eastAsia="仿宋" w:hAnsi="仿宋" w:cs="仿宋" w:hint="eastAsia"/>
          <w:b/>
          <w:bCs/>
          <w:color w:val="000000" w:themeColor="text1"/>
          <w:sz w:val="30"/>
          <w:szCs w:val="30"/>
        </w:rPr>
        <w:t>：2018年这三大风险不容忽略</w:t>
      </w:r>
    </w:p>
    <w:p w:rsidR="00A33952" w:rsidRPr="0093646D" w:rsidRDefault="0093646D" w:rsidP="0093646D">
      <w:pPr>
        <w:adjustRightInd w:val="0"/>
        <w:snapToGrid w:val="0"/>
        <w:spacing w:line="520" w:lineRule="exact"/>
        <w:ind w:firstLineChars="196" w:firstLine="588"/>
        <w:rPr>
          <w:rFonts w:ascii="仿宋" w:eastAsia="仿宋" w:hAnsi="仿宋" w:cs="仿宋"/>
          <w:color w:val="000000" w:themeColor="text1"/>
          <w:kern w:val="0"/>
          <w:sz w:val="30"/>
          <w:szCs w:val="30"/>
        </w:rPr>
      </w:pPr>
      <w:r w:rsidRPr="0093646D">
        <w:rPr>
          <w:rFonts w:ascii="仿宋" w:eastAsia="仿宋" w:hAnsi="仿宋" w:cs="仿宋" w:hint="eastAsia"/>
          <w:color w:val="000000" w:themeColor="text1"/>
          <w:kern w:val="0"/>
          <w:sz w:val="30"/>
          <w:szCs w:val="30"/>
        </w:rPr>
        <w:t>FX168</w:t>
      </w:r>
      <w:r>
        <w:rPr>
          <w:rFonts w:ascii="仿宋" w:eastAsia="仿宋" w:hAnsi="仿宋" w:cs="仿宋" w:hint="eastAsia"/>
          <w:color w:val="000000" w:themeColor="text1"/>
          <w:kern w:val="0"/>
          <w:sz w:val="30"/>
          <w:szCs w:val="30"/>
        </w:rPr>
        <w:t>财经</w:t>
      </w:r>
      <w:r w:rsidRPr="0093646D">
        <w:rPr>
          <w:rFonts w:ascii="仿宋" w:eastAsia="仿宋" w:hAnsi="仿宋" w:cs="仿宋" w:hint="eastAsia"/>
          <w:color w:val="000000" w:themeColor="text1"/>
          <w:kern w:val="0"/>
          <w:sz w:val="30"/>
          <w:szCs w:val="30"/>
        </w:rPr>
        <w:t>12月22日报道称，华尔街资深交易员、瑞银场内交易负责人Art Cashin于21日在接受采访时对2018年进行了展望，并指出，对他而言，2018年最大的两个担忧分别源于中国和美国。</w:t>
      </w:r>
      <w:r w:rsidR="006C722D" w:rsidRPr="0093646D">
        <w:rPr>
          <w:rFonts w:ascii="仿宋" w:eastAsia="仿宋" w:hAnsi="仿宋" w:cs="仿宋" w:hint="eastAsia"/>
          <w:color w:val="000000" w:themeColor="text1"/>
          <w:kern w:val="0"/>
          <w:sz w:val="30"/>
          <w:szCs w:val="30"/>
        </w:rPr>
        <w:t>中国方面可能会积极打击过度放贷，这或许会影响</w:t>
      </w:r>
      <w:r w:rsidR="006C722D" w:rsidRPr="0093646D">
        <w:rPr>
          <w:rFonts w:ascii="仿宋" w:eastAsia="仿宋" w:hAnsi="仿宋" w:cs="仿宋" w:hint="eastAsia"/>
          <w:color w:val="000000" w:themeColor="text1"/>
          <w:kern w:val="0"/>
          <w:sz w:val="30"/>
          <w:szCs w:val="30"/>
        </w:rPr>
        <w:lastRenderedPageBreak/>
        <w:t>全球经济同步增长。美联储方面，外界普遍担心通胀会加速，但事实上，风险可能是通胀仍然过低，美联储升息的速度低于预期。同时，Art Cashin还提及当下风头正劲的比特币。比特币爱好者希望看到的发展方向可能无法实现。Cashin补充称，政府可能希望利用区块链作为向无现金社会过渡的一种方式，并使用它作为一种追踪资金状况的手段。这与很多人的看法相反，一些人认为比特币是令大多数交易保持私有化，并远离政府。</w:t>
      </w:r>
    </w:p>
    <w:p w:rsidR="00A33952" w:rsidRPr="0093646D" w:rsidRDefault="006C722D" w:rsidP="0093646D">
      <w:pPr>
        <w:adjustRightInd w:val="0"/>
        <w:snapToGrid w:val="0"/>
        <w:spacing w:line="520" w:lineRule="exact"/>
        <w:ind w:firstLineChars="196" w:firstLine="590"/>
        <w:rPr>
          <w:rFonts w:ascii="仿宋" w:eastAsia="仿宋" w:hAnsi="仿宋" w:cs="仿宋"/>
          <w:b/>
          <w:bCs/>
          <w:color w:val="000000" w:themeColor="text1"/>
          <w:sz w:val="30"/>
          <w:szCs w:val="30"/>
        </w:rPr>
      </w:pPr>
      <w:r w:rsidRPr="0093646D">
        <w:rPr>
          <w:rFonts w:ascii="仿宋" w:eastAsia="仿宋" w:hAnsi="仿宋" w:cs="仿宋" w:hint="eastAsia"/>
          <w:b/>
          <w:bCs/>
          <w:color w:val="000000" w:themeColor="text1"/>
          <w:sz w:val="30"/>
          <w:szCs w:val="30"/>
        </w:rPr>
        <w:t>(</w:t>
      </w:r>
      <w:r w:rsidR="0093646D">
        <w:rPr>
          <w:rFonts w:ascii="仿宋" w:eastAsia="仿宋" w:hAnsi="仿宋" w:cs="仿宋" w:hint="eastAsia"/>
          <w:b/>
          <w:bCs/>
          <w:color w:val="000000" w:themeColor="text1"/>
          <w:sz w:val="30"/>
          <w:szCs w:val="30"/>
        </w:rPr>
        <w:t>十</w:t>
      </w:r>
      <w:r w:rsidRPr="0093646D">
        <w:rPr>
          <w:rFonts w:ascii="仿宋" w:eastAsia="仿宋" w:hAnsi="仿宋" w:cs="仿宋" w:hint="eastAsia"/>
          <w:b/>
          <w:bCs/>
          <w:color w:val="000000" w:themeColor="text1"/>
          <w:sz w:val="30"/>
          <w:szCs w:val="30"/>
        </w:rPr>
        <w:t>)</w:t>
      </w:r>
      <w:proofErr w:type="gramStart"/>
      <w:r w:rsidRPr="0093646D">
        <w:rPr>
          <w:rFonts w:ascii="仿宋" w:eastAsia="仿宋" w:hAnsi="仿宋" w:cs="仿宋" w:hint="eastAsia"/>
          <w:b/>
          <w:bCs/>
          <w:color w:val="000000" w:themeColor="text1"/>
          <w:sz w:val="30"/>
          <w:szCs w:val="30"/>
        </w:rPr>
        <w:t>亚投行</w:t>
      </w:r>
      <w:proofErr w:type="gramEnd"/>
      <w:r w:rsidRPr="0093646D">
        <w:rPr>
          <w:rFonts w:ascii="仿宋" w:eastAsia="仿宋" w:hAnsi="仿宋" w:cs="仿宋" w:hint="eastAsia"/>
          <w:b/>
          <w:bCs/>
          <w:color w:val="000000" w:themeColor="text1"/>
          <w:sz w:val="30"/>
          <w:szCs w:val="30"/>
        </w:rPr>
        <w:t xml:space="preserve">又添白俄罗斯等4名成员 成员总数达到84名  </w:t>
      </w:r>
    </w:p>
    <w:p w:rsidR="00A33952" w:rsidRPr="0093646D" w:rsidRDefault="006C722D" w:rsidP="0093646D">
      <w:pPr>
        <w:pStyle w:val="7"/>
        <w:spacing w:line="520" w:lineRule="exact"/>
        <w:ind w:firstLineChars="200" w:firstLine="600"/>
        <w:rPr>
          <w:rFonts w:ascii="仿宋" w:eastAsia="仿宋" w:hAnsi="仿宋" w:cs="仿宋"/>
          <w:color w:val="000000" w:themeColor="text1"/>
          <w:sz w:val="30"/>
          <w:szCs w:val="30"/>
        </w:rPr>
      </w:pPr>
      <w:r w:rsidRPr="0093646D">
        <w:rPr>
          <w:rFonts w:ascii="仿宋" w:eastAsia="仿宋" w:hAnsi="仿宋" w:cs="仿宋" w:hint="eastAsia"/>
          <w:color w:val="000000" w:themeColor="text1"/>
          <w:sz w:val="30"/>
          <w:szCs w:val="30"/>
        </w:rPr>
        <w:t>人民网12月20日报道，亚投行（AIIB）12月19日对外发布消息称，已经批准通过库克群岛、白俄罗斯、瓦努阿图和厄瓜多尔4个成员加入亚投行，目前亚投行成员共有84个。根据流程，四个“准成员”走完国内相应的流程后，将会在亚投行存入第一笔资金，并获得亚投行给新成员的未分配股份。行长金立群表示亚投行对新成员热烈欢迎，成员国的稳步扩充，代表了国际社会对亚投行的信任。副行长丹尼·亚历山大（Danny Alexander）表示，会员数量从57个增加到84个，扩大了亚投行在亚洲乃至全球范围内的影响力，当亚投行进入第三年时，期待进一步扩大其会员范围，并加强在国际金融界的作用。</w:t>
      </w:r>
    </w:p>
    <w:p w:rsidR="00A33952" w:rsidRPr="0093646D" w:rsidRDefault="006C722D" w:rsidP="0093646D">
      <w:pPr>
        <w:adjustRightInd w:val="0"/>
        <w:snapToGrid w:val="0"/>
        <w:spacing w:line="520" w:lineRule="exact"/>
        <w:ind w:firstLineChars="200" w:firstLine="602"/>
        <w:rPr>
          <w:rFonts w:ascii="仿宋" w:eastAsia="仿宋" w:hAnsi="仿宋"/>
          <w:b/>
          <w:bCs/>
          <w:sz w:val="30"/>
          <w:szCs w:val="30"/>
        </w:rPr>
      </w:pPr>
      <w:r w:rsidRPr="0093646D">
        <w:rPr>
          <w:rFonts w:ascii="仿宋" w:eastAsia="仿宋" w:hAnsi="仿宋" w:cs="仿宋" w:hint="eastAsia"/>
          <w:b/>
          <w:bCs/>
          <w:color w:val="000000" w:themeColor="text1"/>
          <w:sz w:val="30"/>
          <w:szCs w:val="30"/>
        </w:rPr>
        <w:t>（</w:t>
      </w:r>
      <w:r w:rsidR="0093646D">
        <w:rPr>
          <w:rFonts w:ascii="仿宋" w:eastAsia="仿宋" w:hAnsi="仿宋" w:cs="仿宋" w:hint="eastAsia"/>
          <w:b/>
          <w:bCs/>
          <w:color w:val="000000" w:themeColor="text1"/>
          <w:sz w:val="30"/>
          <w:szCs w:val="30"/>
        </w:rPr>
        <w:t>十一</w:t>
      </w:r>
      <w:r w:rsidRPr="0093646D">
        <w:rPr>
          <w:rFonts w:ascii="仿宋" w:eastAsia="仿宋" w:hAnsi="仿宋" w:cs="仿宋" w:hint="eastAsia"/>
          <w:b/>
          <w:bCs/>
          <w:color w:val="000000" w:themeColor="text1"/>
          <w:sz w:val="30"/>
          <w:szCs w:val="30"/>
        </w:rPr>
        <w:t>）</w:t>
      </w:r>
      <w:r w:rsidRPr="0093646D">
        <w:rPr>
          <w:rFonts w:ascii="仿宋" w:eastAsia="仿宋" w:hAnsi="仿宋" w:hint="eastAsia"/>
          <w:b/>
          <w:bCs/>
          <w:sz w:val="30"/>
          <w:szCs w:val="30"/>
        </w:rPr>
        <w:t>联合国对朝鲜实行新制裁 黄金价格创两周以来新高</w:t>
      </w:r>
    </w:p>
    <w:p w:rsidR="00A33952" w:rsidRPr="0093646D" w:rsidRDefault="006C722D" w:rsidP="0093646D">
      <w:pPr>
        <w:adjustRightInd w:val="0"/>
        <w:snapToGrid w:val="0"/>
        <w:spacing w:line="520" w:lineRule="exact"/>
        <w:ind w:firstLineChars="200" w:firstLine="600"/>
        <w:rPr>
          <w:rFonts w:ascii="仿宋" w:eastAsia="仿宋" w:hAnsi="仿宋"/>
          <w:bCs/>
          <w:sz w:val="30"/>
          <w:szCs w:val="30"/>
        </w:rPr>
      </w:pPr>
      <w:r w:rsidRPr="0093646D">
        <w:rPr>
          <w:rFonts w:ascii="仿宋" w:eastAsia="仿宋" w:hAnsi="仿宋" w:hint="eastAsia"/>
          <w:bCs/>
          <w:sz w:val="30"/>
          <w:szCs w:val="30"/>
        </w:rPr>
        <w:t>《华尔街见闻》12月25日报道，联合国安理会于12月22日一致通过涉朝鲜的第2397号决议。决议认为，朝鲜不顾国际社会反对，11月29日再次进行洲际弹道导弹试射，安理会决定对朝鲜实施新的制裁措施，制裁决议大幅限制朝鲜成品油、原油进口数量，要求各国遣返朝鲜海外务工人员。同日，西班牙加泰罗尼亚地区选举中，独立党派组成的议会团体在大区议会的135</w:t>
      </w:r>
      <w:r w:rsidRPr="0093646D">
        <w:rPr>
          <w:rFonts w:ascii="仿宋" w:eastAsia="仿宋" w:hAnsi="仿宋" w:hint="eastAsia"/>
          <w:bCs/>
          <w:sz w:val="30"/>
          <w:szCs w:val="30"/>
        </w:rPr>
        <w:lastRenderedPageBreak/>
        <w:t>个议席中，获得70个席位，赢得绝对多数席位，上述事件推动黄金价格突破了1270美元关口，创两周以来新高。</w:t>
      </w:r>
    </w:p>
    <w:p w:rsidR="00A33952" w:rsidRPr="0093646D" w:rsidRDefault="006C722D" w:rsidP="0093646D">
      <w:pPr>
        <w:adjustRightInd w:val="0"/>
        <w:snapToGrid w:val="0"/>
        <w:spacing w:line="520" w:lineRule="exact"/>
        <w:ind w:firstLineChars="200" w:firstLine="602"/>
        <w:rPr>
          <w:rFonts w:ascii="仿宋" w:eastAsia="仿宋" w:hAnsi="仿宋"/>
          <w:b/>
          <w:bCs/>
          <w:sz w:val="30"/>
          <w:szCs w:val="30"/>
        </w:rPr>
      </w:pPr>
      <w:r w:rsidRPr="0093646D">
        <w:rPr>
          <w:rFonts w:ascii="仿宋" w:eastAsia="仿宋" w:hAnsi="仿宋" w:hint="eastAsia"/>
          <w:b/>
          <w:bCs/>
          <w:sz w:val="30"/>
          <w:szCs w:val="30"/>
        </w:rPr>
        <w:t>（</w:t>
      </w:r>
      <w:r w:rsidR="0093646D">
        <w:rPr>
          <w:rFonts w:ascii="仿宋" w:eastAsia="仿宋" w:hAnsi="仿宋" w:hint="eastAsia"/>
          <w:b/>
          <w:bCs/>
          <w:sz w:val="30"/>
          <w:szCs w:val="30"/>
        </w:rPr>
        <w:t>十二</w:t>
      </w:r>
      <w:r w:rsidRPr="0093646D">
        <w:rPr>
          <w:rFonts w:ascii="仿宋" w:eastAsia="仿宋" w:hAnsi="仿宋" w:hint="eastAsia"/>
          <w:b/>
          <w:bCs/>
          <w:sz w:val="30"/>
          <w:szCs w:val="30"/>
        </w:rPr>
        <w:t>）俄罗斯央行将基准利率下调50个基点</w:t>
      </w:r>
    </w:p>
    <w:p w:rsidR="00A33952" w:rsidRPr="0093646D" w:rsidRDefault="006C722D" w:rsidP="0093646D">
      <w:pPr>
        <w:adjustRightInd w:val="0"/>
        <w:snapToGrid w:val="0"/>
        <w:spacing w:line="520" w:lineRule="exact"/>
        <w:ind w:firstLineChars="200" w:firstLine="600"/>
        <w:rPr>
          <w:rFonts w:ascii="仿宋" w:eastAsia="仿宋" w:hAnsi="仿宋"/>
          <w:bCs/>
          <w:color w:val="000000" w:themeColor="text1"/>
          <w:sz w:val="30"/>
          <w:szCs w:val="30"/>
        </w:rPr>
      </w:pPr>
      <w:r w:rsidRPr="0093646D">
        <w:rPr>
          <w:rFonts w:ascii="仿宋" w:eastAsia="仿宋" w:hAnsi="仿宋" w:hint="eastAsia"/>
          <w:bCs/>
          <w:sz w:val="30"/>
          <w:szCs w:val="30"/>
        </w:rPr>
        <w:t>《华尔街见闻》12月15日报道，俄罗斯央行于当日宣布将基准利率从8.25%下调至7.75%，下调50个基点，下调幅度大于预期；同时保持2018年上半年继续降低基准利率的可能性。此次作出下调利率的调整，俄罗斯央行主要基于通胀风险评估，以及对经济活动的预测，其中原油减产协议的延长和粮食产量创历史新高是影响通胀的两大因素。目前俄罗斯的通胀水平已降至历史低点</w:t>
      </w:r>
      <w:r w:rsidRPr="0093646D">
        <w:rPr>
          <w:rFonts w:ascii="仿宋" w:eastAsia="仿宋" w:hAnsi="仿宋" w:hint="eastAsia"/>
          <w:bCs/>
          <w:color w:val="000000" w:themeColor="text1"/>
          <w:sz w:val="30"/>
          <w:szCs w:val="30"/>
        </w:rPr>
        <w:t>2.5%。</w:t>
      </w:r>
    </w:p>
    <w:p w:rsidR="00A33952" w:rsidRPr="0093646D" w:rsidRDefault="0093646D" w:rsidP="0093646D">
      <w:pPr>
        <w:tabs>
          <w:tab w:val="left" w:pos="4605"/>
        </w:tabs>
        <w:adjustRightInd w:val="0"/>
        <w:snapToGrid w:val="0"/>
        <w:spacing w:line="520" w:lineRule="exact"/>
        <w:ind w:firstLineChars="200" w:firstLine="602"/>
        <w:jc w:val="left"/>
        <w:rPr>
          <w:rFonts w:ascii="仿宋" w:eastAsia="仿宋" w:hAnsi="仿宋" w:cs="仿宋"/>
          <w:b/>
          <w:bCs/>
          <w:color w:val="000000" w:themeColor="text1"/>
          <w:kern w:val="0"/>
          <w:sz w:val="30"/>
          <w:szCs w:val="30"/>
        </w:rPr>
      </w:pPr>
      <w:r w:rsidRPr="0093646D">
        <w:rPr>
          <w:rFonts w:ascii="仿宋" w:eastAsia="仿宋" w:hAnsi="仿宋" w:cs="仿宋" w:hint="eastAsia"/>
          <w:b/>
          <w:bCs/>
          <w:color w:val="000000" w:themeColor="text1"/>
          <w:kern w:val="0"/>
          <w:sz w:val="30"/>
          <w:szCs w:val="30"/>
        </w:rPr>
        <w:t xml:space="preserve"> </w:t>
      </w:r>
      <w:r w:rsidR="006C722D" w:rsidRPr="0093646D">
        <w:rPr>
          <w:rFonts w:ascii="仿宋" w:eastAsia="仿宋" w:hAnsi="仿宋" w:cs="仿宋" w:hint="eastAsia"/>
          <w:b/>
          <w:bCs/>
          <w:color w:val="000000" w:themeColor="text1"/>
          <w:kern w:val="0"/>
          <w:sz w:val="30"/>
          <w:szCs w:val="30"/>
        </w:rPr>
        <w:t>(</w:t>
      </w:r>
      <w:r>
        <w:rPr>
          <w:rFonts w:ascii="仿宋" w:eastAsia="仿宋" w:hAnsi="仿宋" w:cs="仿宋" w:hint="eastAsia"/>
          <w:b/>
          <w:bCs/>
          <w:color w:val="000000" w:themeColor="text1"/>
          <w:kern w:val="0"/>
          <w:sz w:val="30"/>
          <w:szCs w:val="30"/>
        </w:rPr>
        <w:t>十三</w:t>
      </w:r>
      <w:r w:rsidR="006C722D" w:rsidRPr="0093646D">
        <w:rPr>
          <w:rFonts w:ascii="仿宋" w:eastAsia="仿宋" w:hAnsi="仿宋" w:cs="仿宋" w:hint="eastAsia"/>
          <w:b/>
          <w:bCs/>
          <w:color w:val="000000" w:themeColor="text1"/>
          <w:kern w:val="0"/>
          <w:sz w:val="30"/>
          <w:szCs w:val="30"/>
        </w:rPr>
        <w:t>)加银行长：加拿大经济向好，料明年通胀升至2%</w:t>
      </w:r>
    </w:p>
    <w:p w:rsidR="00A33952" w:rsidRPr="0093646D" w:rsidRDefault="006C722D" w:rsidP="0093646D">
      <w:pPr>
        <w:pStyle w:val="7"/>
        <w:spacing w:line="520" w:lineRule="exact"/>
        <w:ind w:firstLineChars="200" w:firstLine="600"/>
        <w:rPr>
          <w:rFonts w:ascii="仿宋" w:eastAsia="仿宋" w:hAnsi="仿宋" w:cs="仿宋"/>
          <w:color w:val="000000" w:themeColor="text1"/>
          <w:sz w:val="30"/>
          <w:szCs w:val="30"/>
        </w:rPr>
      </w:pPr>
      <w:r w:rsidRPr="0093646D">
        <w:rPr>
          <w:rFonts w:ascii="仿宋" w:eastAsia="仿宋" w:hAnsi="仿宋" w:cs="仿宋" w:hint="eastAsia"/>
          <w:color w:val="000000" w:themeColor="text1"/>
          <w:sz w:val="30"/>
          <w:szCs w:val="30"/>
        </w:rPr>
        <w:t>汇通网12月15日报道，加拿大央行</w:t>
      </w:r>
      <w:proofErr w:type="gramStart"/>
      <w:r w:rsidRPr="0093646D">
        <w:rPr>
          <w:rFonts w:ascii="仿宋" w:eastAsia="仿宋" w:hAnsi="仿宋" w:cs="仿宋" w:hint="eastAsia"/>
          <w:color w:val="000000" w:themeColor="text1"/>
          <w:sz w:val="30"/>
          <w:szCs w:val="30"/>
        </w:rPr>
        <w:t>行</w:t>
      </w:r>
      <w:proofErr w:type="gramEnd"/>
      <w:r w:rsidRPr="0093646D">
        <w:rPr>
          <w:rFonts w:ascii="仿宋" w:eastAsia="仿宋" w:hAnsi="仿宋" w:cs="仿宋" w:hint="eastAsia"/>
          <w:color w:val="000000" w:themeColor="text1"/>
          <w:sz w:val="30"/>
          <w:szCs w:val="30"/>
        </w:rPr>
        <w:t>长波</w:t>
      </w:r>
      <w:proofErr w:type="gramStart"/>
      <w:r w:rsidRPr="0093646D">
        <w:rPr>
          <w:rFonts w:ascii="仿宋" w:eastAsia="仿宋" w:hAnsi="仿宋" w:cs="仿宋" w:hint="eastAsia"/>
          <w:color w:val="000000" w:themeColor="text1"/>
          <w:sz w:val="30"/>
          <w:szCs w:val="30"/>
        </w:rPr>
        <w:t>洛</w:t>
      </w:r>
      <w:proofErr w:type="gramEnd"/>
      <w:r w:rsidRPr="0093646D">
        <w:rPr>
          <w:rFonts w:ascii="仿宋" w:eastAsia="仿宋" w:hAnsi="仿宋" w:cs="仿宋" w:hint="eastAsia"/>
          <w:color w:val="000000" w:themeColor="text1"/>
          <w:sz w:val="30"/>
          <w:szCs w:val="30"/>
        </w:rPr>
        <w:t>兹于12月14日表示，预计加拿大国内通胀率将在2018年下半年时达到2%。尽管出口数据并未表现非常出色，但预计其将继续受到外需增长的支撑。货币政策的“刺激性”应该减弱，加拿大经济的基本面重点从楼市转移至出口与投资。波洛兹对于更高的薪资与年轻劳动力参与率上涨感到高兴</w:t>
      </w:r>
      <w:bookmarkStart w:id="0" w:name="_GoBack"/>
      <w:bookmarkEnd w:id="0"/>
      <w:r w:rsidRPr="0093646D">
        <w:rPr>
          <w:rFonts w:ascii="仿宋" w:eastAsia="仿宋" w:hAnsi="仿宋" w:cs="仿宋" w:hint="eastAsia"/>
          <w:color w:val="000000" w:themeColor="text1"/>
          <w:sz w:val="30"/>
          <w:szCs w:val="30"/>
        </w:rPr>
        <w:t>，强调通胀预期的上行风险是由经济接近完全产能的情况导致的，并预计实际经济增速将继续高于潜在增速。据波洛兹称，预计随着时间发展，经济对货币政策刺激的依赖程度将降低，对此他越发有信心。但通胀预期仍存在着风险，加拿大薪资虽然近期回暖，但仍然明显低于周期当前阶段的典型均值，加上北美自贸协定的不确定性仍是持续性因素，在某种程度上影响了投资。当被问及加元汇率时，他表示希望市场继续对加元保持信心。</w:t>
      </w:r>
    </w:p>
    <w:p w:rsidR="00A33952" w:rsidRPr="0093646D" w:rsidRDefault="0093646D" w:rsidP="0093646D">
      <w:pPr>
        <w:pStyle w:val="7"/>
        <w:spacing w:line="520" w:lineRule="exact"/>
        <w:ind w:firstLine="600"/>
        <w:rPr>
          <w:rFonts w:ascii="仿宋" w:eastAsia="仿宋" w:hAnsi="仿宋" w:cs="仿宋"/>
          <w:b/>
          <w:bCs/>
          <w:color w:val="000000" w:themeColor="text1"/>
          <w:sz w:val="30"/>
          <w:szCs w:val="30"/>
        </w:rPr>
      </w:pPr>
      <w:r w:rsidRPr="0093646D">
        <w:rPr>
          <w:rFonts w:ascii="仿宋" w:eastAsia="仿宋" w:hAnsi="仿宋" w:cs="仿宋" w:hint="eastAsia"/>
          <w:b/>
          <w:bCs/>
          <w:color w:val="000000" w:themeColor="text1"/>
          <w:sz w:val="30"/>
          <w:szCs w:val="30"/>
        </w:rPr>
        <w:t xml:space="preserve"> </w:t>
      </w:r>
      <w:r w:rsidR="006C722D" w:rsidRPr="0093646D">
        <w:rPr>
          <w:rFonts w:ascii="仿宋" w:eastAsia="仿宋" w:hAnsi="仿宋" w:cs="仿宋" w:hint="eastAsia"/>
          <w:b/>
          <w:bCs/>
          <w:color w:val="000000" w:themeColor="text1"/>
          <w:sz w:val="30"/>
          <w:szCs w:val="30"/>
        </w:rPr>
        <w:t>(</w:t>
      </w:r>
      <w:r>
        <w:rPr>
          <w:rFonts w:ascii="仿宋" w:eastAsia="仿宋" w:hAnsi="仿宋" w:cs="仿宋" w:hint="eastAsia"/>
          <w:b/>
          <w:bCs/>
          <w:color w:val="000000" w:themeColor="text1"/>
          <w:sz w:val="30"/>
          <w:szCs w:val="30"/>
        </w:rPr>
        <w:t>十四</w:t>
      </w:r>
      <w:r w:rsidR="006C722D" w:rsidRPr="0093646D">
        <w:rPr>
          <w:rFonts w:ascii="仿宋" w:eastAsia="仿宋" w:hAnsi="仿宋" w:cs="仿宋" w:hint="eastAsia"/>
          <w:b/>
          <w:bCs/>
          <w:color w:val="000000" w:themeColor="text1"/>
          <w:sz w:val="30"/>
          <w:szCs w:val="30"/>
        </w:rPr>
        <w:t>)德国财长要职至今空悬，“财政纪律”松劲或打压欧元</w:t>
      </w:r>
    </w:p>
    <w:p w:rsidR="00A33952" w:rsidRPr="0093646D" w:rsidRDefault="006C722D" w:rsidP="0093646D">
      <w:pPr>
        <w:pStyle w:val="7"/>
        <w:spacing w:line="520" w:lineRule="exact"/>
        <w:ind w:firstLineChars="200" w:firstLine="600"/>
        <w:rPr>
          <w:rFonts w:ascii="仿宋" w:eastAsia="仿宋" w:hAnsi="仿宋" w:cs="仿宋"/>
          <w:color w:val="000000" w:themeColor="text1"/>
          <w:sz w:val="30"/>
          <w:szCs w:val="30"/>
        </w:rPr>
      </w:pPr>
      <w:r w:rsidRPr="0093646D">
        <w:rPr>
          <w:rFonts w:ascii="仿宋" w:eastAsia="仿宋" w:hAnsi="仿宋" w:cs="仿宋" w:hint="eastAsia"/>
          <w:color w:val="000000" w:themeColor="text1"/>
          <w:sz w:val="30"/>
          <w:szCs w:val="30"/>
        </w:rPr>
        <w:lastRenderedPageBreak/>
        <w:t>汇通网12月20日报道，德国大选后的组阁进程至今已经拖延了三个月，总理默克尔正面临艰难抉择：如果想说服社民党第三次加入她的政府，可能不得不向其提供一种特别诱人的条件，那就是让社民党获得德国的财长宝座。由于德国财长人选未定，其实施的政策具有一定的不确定性。而德国在货币政策上一直持有鹰派观点，因此在德国国内政坛局势明朗之前，或无暇顾及欧洲央行相关事务，这就使得欧洲央行的鸽派人士占据有利局面。欧洲央行行长德拉基在表示，将会把利率维持在当前水平，并且会在直至QE结束后很长一段时间都是如此。在少了来自德国方面的反对声后，德拉基似乎更有信心可以这么做了。而如果之后一位社民党鸽派人士出任德国财长要职，那么之前“硬汉”朔伊布勒所推崇的“财政纪律”，以及其对欧洲央行宽松政策的质疑声也都会被显著削弱。这或许意味着，欧洲央行之后的政策方向将会更加“意大利化”，也就是维持低利率高流动性的状况，更多地容忍通货膨胀和货币贬值状况。这一状况或许有望延续到2019年意大利籍的欧洲央行行长德拉基任期届满为止。</w:t>
      </w:r>
    </w:p>
    <w:p w:rsidR="00A33952" w:rsidRPr="0093646D" w:rsidRDefault="006C722D" w:rsidP="0093646D">
      <w:pPr>
        <w:adjustRightInd w:val="0"/>
        <w:snapToGrid w:val="0"/>
        <w:spacing w:line="520" w:lineRule="exact"/>
        <w:ind w:left="600"/>
        <w:rPr>
          <w:rFonts w:ascii="仿宋" w:eastAsia="仿宋" w:hAnsi="仿宋" w:cs="仿宋"/>
          <w:color w:val="000000" w:themeColor="text1"/>
          <w:kern w:val="0"/>
          <w:sz w:val="30"/>
          <w:szCs w:val="30"/>
        </w:rPr>
      </w:pPr>
      <w:r w:rsidRPr="0093646D">
        <w:rPr>
          <w:rFonts w:ascii="仿宋" w:eastAsia="仿宋" w:hAnsi="仿宋" w:cs="宋体" w:hint="eastAsia"/>
          <w:b/>
          <w:color w:val="000000" w:themeColor="text1"/>
          <w:sz w:val="30"/>
          <w:szCs w:val="30"/>
        </w:rPr>
        <w:t>（十五）</w:t>
      </w:r>
      <w:r w:rsidRPr="0093646D">
        <w:rPr>
          <w:rFonts w:ascii="仿宋" w:eastAsia="仿宋" w:hAnsi="仿宋" w:cs="仿宋" w:hint="eastAsia"/>
          <w:b/>
          <w:bCs/>
          <w:color w:val="000000" w:themeColor="text1"/>
          <w:kern w:val="0"/>
          <w:sz w:val="30"/>
          <w:szCs w:val="30"/>
        </w:rPr>
        <w:t>黑田东彦：比特币被用于投机</w:t>
      </w:r>
    </w:p>
    <w:p w:rsidR="00A33952" w:rsidRPr="0093646D" w:rsidRDefault="0093646D" w:rsidP="0093646D">
      <w:pPr>
        <w:adjustRightInd w:val="0"/>
        <w:snapToGrid w:val="0"/>
        <w:spacing w:line="520" w:lineRule="exact"/>
        <w:ind w:firstLineChars="200" w:firstLine="600"/>
        <w:rPr>
          <w:rFonts w:ascii="仿宋" w:eastAsia="仿宋" w:hAnsi="仿宋" w:cs="仿宋"/>
          <w:color w:val="000000" w:themeColor="text1"/>
          <w:kern w:val="0"/>
          <w:sz w:val="30"/>
          <w:szCs w:val="30"/>
        </w:rPr>
      </w:pPr>
      <w:r w:rsidRPr="0093646D">
        <w:rPr>
          <w:rFonts w:ascii="仿宋" w:eastAsia="仿宋" w:hAnsi="仿宋" w:cs="仿宋" w:hint="eastAsia"/>
          <w:color w:val="000000" w:themeColor="text1"/>
          <w:kern w:val="0"/>
          <w:sz w:val="30"/>
          <w:szCs w:val="30"/>
        </w:rPr>
        <w:t>《中金在线》12月22日报道，日本央行行长黑田东彦21日在记者会上表示，比特币的运作方式不像一个正常的支付手段，其运作不像货币一样作为一种支付形式或结算方式，而是正在被用于投资或投机交易。</w:t>
      </w:r>
      <w:r w:rsidR="006C722D" w:rsidRPr="0093646D">
        <w:rPr>
          <w:rFonts w:ascii="仿宋" w:eastAsia="仿宋" w:hAnsi="仿宋" w:cs="仿宋" w:hint="eastAsia"/>
          <w:color w:val="000000" w:themeColor="text1"/>
          <w:kern w:val="0"/>
          <w:sz w:val="30"/>
          <w:szCs w:val="30"/>
        </w:rPr>
        <w:t>黑田东彦认为日本金融服务局正在监测比特币是否对投资者产生任何不可预见的影响。不过黑田东彦表示目前比特币未对日本央行的政策造成问题，日本央行的货币政策旨在通过量化和质化货币宽松政策实现适当的收益率曲线，从而对经济产生积极影响，而目前比特币不是日本央行货币政策的障碍，也未给央行带来问题。</w:t>
      </w:r>
    </w:p>
    <w:p w:rsidR="00A33952" w:rsidRPr="0093646D" w:rsidRDefault="006C722D" w:rsidP="0093646D">
      <w:pPr>
        <w:adjustRightInd w:val="0"/>
        <w:snapToGrid w:val="0"/>
        <w:spacing w:line="520" w:lineRule="exact"/>
        <w:ind w:firstLineChars="196" w:firstLine="590"/>
        <w:rPr>
          <w:rFonts w:ascii="仿宋" w:eastAsia="仿宋" w:hAnsi="仿宋" w:cs="仿宋"/>
          <w:b/>
          <w:bCs/>
          <w:color w:val="171717" w:themeColor="background2" w:themeShade="1A"/>
          <w:sz w:val="30"/>
          <w:szCs w:val="30"/>
        </w:rPr>
      </w:pPr>
      <w:r w:rsidRPr="0093646D">
        <w:rPr>
          <w:rFonts w:ascii="仿宋" w:eastAsia="仿宋" w:hAnsi="仿宋" w:cs="仿宋_GB2312" w:hint="eastAsia"/>
          <w:b/>
          <w:color w:val="171717" w:themeColor="background2" w:themeShade="1A"/>
          <w:sz w:val="30"/>
          <w:szCs w:val="30"/>
        </w:rPr>
        <w:lastRenderedPageBreak/>
        <w:t>二、</w:t>
      </w:r>
      <w:r w:rsidRPr="0093646D">
        <w:rPr>
          <w:rFonts w:ascii="仿宋" w:eastAsia="仿宋" w:hAnsi="仿宋" w:cs="仿宋" w:hint="eastAsia"/>
          <w:b/>
          <w:bCs/>
          <w:color w:val="171717" w:themeColor="background2" w:themeShade="1A"/>
          <w:sz w:val="30"/>
          <w:szCs w:val="30"/>
        </w:rPr>
        <w:t>国内资本市场热点问题</w:t>
      </w:r>
    </w:p>
    <w:p w:rsidR="00A33952" w:rsidRPr="0093646D" w:rsidRDefault="006C722D" w:rsidP="0093646D">
      <w:pPr>
        <w:adjustRightInd w:val="0"/>
        <w:snapToGrid w:val="0"/>
        <w:spacing w:line="520" w:lineRule="exact"/>
        <w:ind w:firstLineChars="196" w:firstLine="590"/>
        <w:rPr>
          <w:rFonts w:ascii="仿宋" w:eastAsia="仿宋" w:hAnsi="仿宋" w:cs="仿宋"/>
          <w:b/>
          <w:bCs/>
          <w:color w:val="171717" w:themeColor="background2" w:themeShade="1A"/>
          <w:sz w:val="30"/>
          <w:szCs w:val="30"/>
        </w:rPr>
      </w:pPr>
      <w:r w:rsidRPr="0093646D">
        <w:rPr>
          <w:rFonts w:ascii="仿宋" w:eastAsia="仿宋" w:hAnsi="仿宋" w:hint="eastAsia"/>
          <w:b/>
          <w:bCs/>
          <w:color w:val="171717" w:themeColor="background2" w:themeShade="1A"/>
          <w:sz w:val="30"/>
          <w:szCs w:val="30"/>
        </w:rPr>
        <w:t>（一）</w:t>
      </w:r>
      <w:r w:rsidRPr="0093646D">
        <w:rPr>
          <w:rFonts w:ascii="仿宋" w:eastAsia="仿宋" w:hAnsi="仿宋" w:cs="宋体" w:hint="eastAsia"/>
          <w:b/>
          <w:bCs/>
          <w:color w:val="171717" w:themeColor="background2" w:themeShade="1A"/>
          <w:sz w:val="30"/>
          <w:szCs w:val="30"/>
        </w:rPr>
        <w:t>世行上调中国2017年增长预期至6.8%</w:t>
      </w:r>
    </w:p>
    <w:p w:rsidR="00A33952" w:rsidRPr="0093646D" w:rsidRDefault="006C722D" w:rsidP="0093646D">
      <w:pPr>
        <w:spacing w:line="520" w:lineRule="exact"/>
        <w:ind w:firstLineChars="200" w:firstLine="600"/>
        <w:rPr>
          <w:rFonts w:ascii="仿宋" w:eastAsia="仿宋" w:hAnsi="仿宋"/>
          <w:sz w:val="30"/>
          <w:szCs w:val="30"/>
        </w:rPr>
      </w:pPr>
      <w:r w:rsidRPr="0093646D">
        <w:rPr>
          <w:rFonts w:ascii="仿宋" w:eastAsia="仿宋" w:hAnsi="仿宋" w:hint="eastAsia"/>
          <w:sz w:val="30"/>
          <w:szCs w:val="30"/>
        </w:rPr>
        <w:t>世界</w:t>
      </w:r>
      <w:hyperlink r:id="rId8" w:tgtFrame="_blank" w:history="1">
        <w:r w:rsidRPr="0093646D">
          <w:rPr>
            <w:rFonts w:ascii="仿宋" w:eastAsia="仿宋" w:hAnsi="仿宋" w:hint="eastAsia"/>
            <w:sz w:val="30"/>
            <w:szCs w:val="30"/>
          </w:rPr>
          <w:t>银行</w:t>
        </w:r>
      </w:hyperlink>
      <w:r w:rsidRPr="0093646D">
        <w:rPr>
          <w:rFonts w:ascii="仿宋" w:eastAsia="仿宋" w:hAnsi="仿宋" w:hint="eastAsia"/>
          <w:sz w:val="30"/>
          <w:szCs w:val="30"/>
        </w:rPr>
        <w:t>12月19日发布了最新《中国经济简报》(简称《简报》)，《简报》指出，在居民收入增</w:t>
      </w:r>
      <w:hyperlink r:id="rId9" w:tgtFrame="_blank" w:history="1">
        <w:r w:rsidRPr="0093646D">
          <w:rPr>
            <w:rFonts w:ascii="仿宋" w:eastAsia="仿宋" w:hAnsi="仿宋" w:hint="eastAsia"/>
            <w:sz w:val="30"/>
            <w:szCs w:val="30"/>
          </w:rPr>
          <w:t>长和</w:t>
        </w:r>
      </w:hyperlink>
      <w:r w:rsidRPr="0093646D">
        <w:rPr>
          <w:rFonts w:ascii="仿宋" w:eastAsia="仿宋" w:hAnsi="仿宋" w:hint="eastAsia"/>
          <w:sz w:val="30"/>
          <w:szCs w:val="30"/>
        </w:rPr>
        <w:t>外需回暖的支撑下，2017年中国经济增长继续保持强势，预计2017年全年增速为6.8%，高于10月该组织在《东亚与</w:t>
      </w:r>
      <w:hyperlink r:id="rId10" w:tgtFrame="_blank" w:history="1">
        <w:r w:rsidRPr="0093646D">
          <w:rPr>
            <w:rFonts w:ascii="仿宋" w:eastAsia="仿宋" w:hAnsi="仿宋" w:hint="eastAsia"/>
            <w:sz w:val="30"/>
            <w:szCs w:val="30"/>
          </w:rPr>
          <w:t>太平洋</w:t>
        </w:r>
      </w:hyperlink>
      <w:r w:rsidRPr="0093646D">
        <w:rPr>
          <w:rFonts w:ascii="仿宋" w:eastAsia="仿宋" w:hAnsi="仿宋" w:hint="eastAsia"/>
          <w:sz w:val="30"/>
          <w:szCs w:val="30"/>
        </w:rPr>
        <w:t>地区经济半年报》中预期的6.7%。世界银行在《简报》中认为，全球贸易复苏是支撑2017年中国经济增长的一个重要因素，相比2015年至2016年的负增长，净出口对经济增长的贡献连续三个季度为正值。与此同时，企业信心上升，就业机会持续增加。在居民收入增长和外需回暖的支撑下，2017年前三个季度中国经济保持了6.9%的强劲增速。经济韧性反映在了较高水平的就业上，数据显示，2017年1-9月净增就业岗位近1100万个。中国推出旨在减少宏观经济失衡和控制金融风险的政策和规定，也为改革增添了动力。</w:t>
      </w:r>
    </w:p>
    <w:p w:rsidR="00A33952" w:rsidRPr="0093646D" w:rsidRDefault="006C722D" w:rsidP="0093646D">
      <w:pPr>
        <w:spacing w:line="520" w:lineRule="exact"/>
        <w:ind w:firstLineChars="200" w:firstLine="602"/>
        <w:rPr>
          <w:rFonts w:ascii="仿宋" w:eastAsia="仿宋" w:hAnsi="仿宋" w:cs="宋体"/>
          <w:b/>
          <w:bCs/>
          <w:color w:val="171717" w:themeColor="background2" w:themeShade="1A"/>
          <w:sz w:val="30"/>
          <w:szCs w:val="30"/>
        </w:rPr>
      </w:pPr>
      <w:r w:rsidRPr="0093646D">
        <w:rPr>
          <w:rFonts w:ascii="仿宋" w:eastAsia="仿宋" w:hAnsi="仿宋" w:cs="宋体" w:hint="eastAsia"/>
          <w:b/>
          <w:color w:val="171717" w:themeColor="background2" w:themeShade="1A"/>
          <w:sz w:val="30"/>
          <w:szCs w:val="30"/>
        </w:rPr>
        <w:t>（二）</w:t>
      </w:r>
      <w:r w:rsidRPr="0093646D">
        <w:rPr>
          <w:rFonts w:ascii="仿宋" w:eastAsia="仿宋" w:hAnsi="仿宋" w:cs="宋体" w:hint="eastAsia"/>
          <w:b/>
          <w:bCs/>
          <w:color w:val="171717" w:themeColor="background2" w:themeShade="1A"/>
          <w:sz w:val="30"/>
          <w:szCs w:val="30"/>
        </w:rPr>
        <w:t>发改委发布民企境外投资规范：加强全面风险防控</w:t>
      </w:r>
    </w:p>
    <w:p w:rsidR="00A33952" w:rsidRPr="0093646D" w:rsidRDefault="006C722D" w:rsidP="0093646D">
      <w:pPr>
        <w:spacing w:line="520" w:lineRule="exact"/>
        <w:ind w:firstLine="600"/>
        <w:rPr>
          <w:rFonts w:ascii="仿宋" w:eastAsia="仿宋" w:hAnsi="仿宋" w:cs="宋体"/>
          <w:color w:val="171717" w:themeColor="background2" w:themeShade="1A"/>
          <w:sz w:val="30"/>
          <w:szCs w:val="30"/>
        </w:rPr>
      </w:pPr>
      <w:r w:rsidRPr="0093646D">
        <w:rPr>
          <w:rFonts w:ascii="仿宋" w:eastAsia="仿宋" w:hAnsi="仿宋" w:cs="宋体" w:hint="eastAsia"/>
          <w:color w:val="171717" w:themeColor="background2" w:themeShade="1A"/>
          <w:sz w:val="30"/>
          <w:szCs w:val="30"/>
        </w:rPr>
        <w:t>发改委网站12月18日显示，国家发展改革委、商务部、人民银行、外交部、全国工商联等五部门于12月6日联合发布了《民营企业境外投资经营行为规范》</w:t>
      </w:r>
      <w:r w:rsidRPr="0093646D">
        <w:rPr>
          <w:rFonts w:ascii="仿宋" w:eastAsia="仿宋" w:hAnsi="仿宋" w:cs="仿宋" w:hint="eastAsia"/>
          <w:color w:val="171717" w:themeColor="background2" w:themeShade="1A"/>
          <w:sz w:val="30"/>
          <w:szCs w:val="30"/>
        </w:rPr>
        <w:t>。权威人士称，希望为民企境外投资经营提供一个指引，帮助民企在境外投资活动中认识风险、防范风险、提升防控风险的能力，同时促进我国对外投资健康有序发展。</w:t>
      </w:r>
      <w:r w:rsidRPr="0093646D">
        <w:rPr>
          <w:rFonts w:ascii="仿宋" w:eastAsia="仿宋" w:hAnsi="仿宋" w:cs="宋体" w:hint="eastAsia"/>
          <w:color w:val="171717" w:themeColor="background2" w:themeShade="1A"/>
          <w:sz w:val="30"/>
          <w:szCs w:val="30"/>
        </w:rPr>
        <w:t>《行为规范》表示，国家支持有条件的民营企业“走出去”，对民营企业“走出去”与国有企业“走出去”一视同仁。同时，要求民营企业要加强对境外分支机构在资金调拨、融资、股权和其他权益转让、再投资及担保等方面的监督和管理，审慎开展高杠杆投资，规范境外金融衍生品投资活动，不得以虚假境外投资非法获取外汇、转移资产和进行洗钱等活动。</w:t>
      </w:r>
    </w:p>
    <w:p w:rsidR="00A33952" w:rsidRPr="0093646D" w:rsidRDefault="006C722D" w:rsidP="0093646D">
      <w:pPr>
        <w:adjustRightInd w:val="0"/>
        <w:snapToGrid w:val="0"/>
        <w:spacing w:line="520" w:lineRule="exact"/>
        <w:ind w:firstLineChars="200" w:firstLine="602"/>
        <w:rPr>
          <w:rFonts w:ascii="仿宋" w:eastAsia="仿宋" w:hAnsi="仿宋" w:cs="仿宋"/>
          <w:b/>
          <w:bCs/>
          <w:color w:val="171717" w:themeColor="background2" w:themeShade="1A"/>
          <w:sz w:val="30"/>
          <w:szCs w:val="30"/>
        </w:rPr>
      </w:pPr>
      <w:r w:rsidRPr="0093646D">
        <w:rPr>
          <w:rFonts w:ascii="仿宋" w:eastAsia="仿宋" w:hAnsi="仿宋" w:cs="仿宋" w:hint="eastAsia"/>
          <w:b/>
          <w:bCs/>
          <w:color w:val="171717" w:themeColor="background2" w:themeShade="1A"/>
          <w:sz w:val="30"/>
          <w:szCs w:val="30"/>
        </w:rPr>
        <w:lastRenderedPageBreak/>
        <w:t>（三）</w:t>
      </w:r>
      <w:r w:rsidRPr="0093646D">
        <w:rPr>
          <w:rFonts w:ascii="仿宋" w:eastAsia="仿宋" w:hAnsi="仿宋" w:cs="仿宋" w:hint="eastAsia"/>
          <w:b/>
          <w:color w:val="171717" w:themeColor="background2" w:themeShade="1A"/>
          <w:sz w:val="30"/>
          <w:szCs w:val="30"/>
        </w:rPr>
        <w:t>法律法规连续修订 外商投资环境更宽松</w:t>
      </w:r>
    </w:p>
    <w:p w:rsidR="00A33952" w:rsidRPr="0093646D" w:rsidRDefault="006C722D" w:rsidP="0093646D">
      <w:pPr>
        <w:adjustRightInd w:val="0"/>
        <w:snapToGrid w:val="0"/>
        <w:spacing w:line="520" w:lineRule="exact"/>
        <w:ind w:firstLineChars="200" w:firstLine="600"/>
        <w:rPr>
          <w:rFonts w:ascii="仿宋" w:eastAsia="仿宋" w:hAnsi="仿宋" w:cs="仿宋"/>
          <w:bCs/>
          <w:color w:val="171717" w:themeColor="background2" w:themeShade="1A"/>
          <w:sz w:val="30"/>
          <w:szCs w:val="30"/>
        </w:rPr>
      </w:pPr>
      <w:r w:rsidRPr="0093646D">
        <w:rPr>
          <w:rFonts w:ascii="仿宋" w:eastAsia="仿宋" w:hAnsi="仿宋" w:cs="仿宋" w:hint="eastAsia"/>
          <w:bCs/>
          <w:color w:val="171717" w:themeColor="background2" w:themeShade="1A"/>
          <w:sz w:val="30"/>
          <w:szCs w:val="30"/>
        </w:rPr>
        <w:t>《人民日报》12月20日报道，商务部外资司负责人表示，下一步将继续全力推进各项</w:t>
      </w:r>
      <w:r w:rsidRPr="0093646D">
        <w:rPr>
          <w:rFonts w:ascii="仿宋" w:eastAsia="仿宋" w:hAnsi="仿宋" w:cs="仿宋" w:hint="eastAsia"/>
          <w:color w:val="171717" w:themeColor="background2" w:themeShade="1A"/>
          <w:sz w:val="30"/>
          <w:szCs w:val="30"/>
        </w:rPr>
        <w:t>外商投资法律法规修订</w:t>
      </w:r>
      <w:r w:rsidRPr="0093646D">
        <w:rPr>
          <w:rFonts w:ascii="仿宋" w:eastAsia="仿宋" w:hAnsi="仿宋" w:cs="仿宋" w:hint="eastAsia"/>
          <w:bCs/>
          <w:color w:val="171717" w:themeColor="background2" w:themeShade="1A"/>
          <w:sz w:val="30"/>
          <w:szCs w:val="30"/>
        </w:rPr>
        <w:t>工作有序进行。一是大幅度减少市场准入限制，深化制造业开放，加快生产性服务业开放；二是进一步加大改革力度，全面实行准入前国民待遇加负面清单管理制度；三是优化区域开放布局，提高中西部地区吸收外资规模和质量；四是最大限度赋予自贸试验区改革自主权和先行先试权，鼓励地方大胆试、大胆闯、自主改，形成更多制度创新成果。</w:t>
      </w:r>
    </w:p>
    <w:p w:rsidR="00A33952" w:rsidRPr="0093646D" w:rsidRDefault="006C722D" w:rsidP="0093646D">
      <w:pPr>
        <w:spacing w:line="520" w:lineRule="exact"/>
        <w:ind w:firstLine="645"/>
        <w:rPr>
          <w:rFonts w:ascii="仿宋" w:eastAsia="仿宋" w:hAnsi="仿宋"/>
          <w:b/>
          <w:color w:val="000000" w:themeColor="text1"/>
          <w:sz w:val="30"/>
          <w:szCs w:val="30"/>
        </w:rPr>
      </w:pPr>
      <w:r w:rsidRPr="0093646D">
        <w:rPr>
          <w:rFonts w:ascii="仿宋" w:eastAsia="仿宋" w:hAnsi="仿宋" w:hint="eastAsia"/>
          <w:b/>
          <w:color w:val="000000" w:themeColor="text1"/>
          <w:sz w:val="30"/>
          <w:szCs w:val="30"/>
        </w:rPr>
        <w:t>（四）中国10月增持84亿美元美国国债</w:t>
      </w:r>
    </w:p>
    <w:p w:rsidR="00A33952" w:rsidRPr="0093646D" w:rsidRDefault="006C722D" w:rsidP="0093646D">
      <w:pPr>
        <w:spacing w:line="520" w:lineRule="exact"/>
        <w:ind w:firstLineChars="198" w:firstLine="594"/>
        <w:rPr>
          <w:rFonts w:ascii="仿宋" w:eastAsia="仿宋" w:hAnsi="仿宋"/>
          <w:color w:val="000000" w:themeColor="text1"/>
          <w:sz w:val="30"/>
          <w:szCs w:val="30"/>
        </w:rPr>
      </w:pPr>
      <w:r w:rsidRPr="0093646D">
        <w:rPr>
          <w:rFonts w:ascii="仿宋" w:eastAsia="仿宋" w:hAnsi="仿宋" w:hint="eastAsia"/>
          <w:color w:val="000000" w:themeColor="text1"/>
          <w:sz w:val="30"/>
          <w:szCs w:val="30"/>
        </w:rPr>
        <w:t>中新社12月15日报道，美国财政部当日公布的数据显示，在9月减持后，中国于10月份增持了84亿美元美国国债，中国持有的美国国债规模上升至1.1892万亿美元，仍是美国第一大债权国。当月，日本减持了21亿美元美国国债，持有规模降至1.0939万亿美元。截至2017年10月底，外国主要债权人持有的美国国债总额约为6.3494万亿美元，高于9月底修正后的6.323万亿美元。其中，中日两国持有的美国国债占外国主要债权人持有美国国债总额的三分之一以上。</w:t>
      </w:r>
      <w:r w:rsidR="0093646D" w:rsidRPr="0093646D">
        <w:rPr>
          <w:rFonts w:ascii="仿宋" w:eastAsia="仿宋" w:hAnsi="仿宋" w:hint="eastAsia"/>
          <w:color w:val="000000" w:themeColor="text1"/>
          <w:sz w:val="30"/>
          <w:szCs w:val="30"/>
        </w:rPr>
        <w:t>人民</w:t>
      </w:r>
      <w:hyperlink r:id="rId11" w:tgtFrame="_blank" w:history="1">
        <w:r w:rsidR="0093646D" w:rsidRPr="0093646D">
          <w:rPr>
            <w:rFonts w:ascii="仿宋" w:eastAsia="仿宋" w:hAnsi="仿宋" w:hint="eastAsia"/>
            <w:color w:val="000000" w:themeColor="text1"/>
            <w:sz w:val="30"/>
            <w:szCs w:val="30"/>
          </w:rPr>
          <w:t>银行</w:t>
        </w:r>
      </w:hyperlink>
      <w:r w:rsidR="0093646D" w:rsidRPr="0093646D">
        <w:rPr>
          <w:rFonts w:ascii="仿宋" w:eastAsia="仿宋" w:hAnsi="仿宋" w:hint="eastAsia"/>
          <w:color w:val="000000" w:themeColor="text1"/>
          <w:sz w:val="30"/>
          <w:szCs w:val="30"/>
        </w:rPr>
        <w:t>数据显示，截至11月末，中国</w:t>
      </w:r>
      <w:hyperlink r:id="rId12" w:tgtFrame="_blank" w:history="1">
        <w:r w:rsidR="0093646D" w:rsidRPr="0093646D">
          <w:rPr>
            <w:rFonts w:ascii="仿宋" w:eastAsia="仿宋" w:hAnsi="仿宋" w:hint="eastAsia"/>
            <w:color w:val="000000" w:themeColor="text1"/>
            <w:sz w:val="30"/>
            <w:szCs w:val="30"/>
          </w:rPr>
          <w:t>外汇储备</w:t>
        </w:r>
      </w:hyperlink>
      <w:r w:rsidR="0093646D" w:rsidRPr="0093646D">
        <w:rPr>
          <w:rFonts w:ascii="仿宋" w:eastAsia="仿宋" w:hAnsi="仿宋" w:hint="eastAsia"/>
          <w:color w:val="000000" w:themeColor="text1"/>
          <w:sz w:val="30"/>
          <w:szCs w:val="30"/>
        </w:rPr>
        <w:t>规模为3.1193万亿美元，连续第10个月回升。</w:t>
      </w:r>
      <w:r w:rsidRPr="0093646D">
        <w:rPr>
          <w:rFonts w:ascii="仿宋" w:eastAsia="仿宋" w:hAnsi="仿宋" w:hint="eastAsia"/>
          <w:color w:val="000000" w:themeColor="text1"/>
          <w:sz w:val="30"/>
          <w:szCs w:val="30"/>
        </w:rPr>
        <w:t>外汇管理局表示，随着中国</w:t>
      </w:r>
      <w:hyperlink r:id="rId13" w:tgtFrame="_blank" w:history="1">
        <w:r w:rsidRPr="0093646D">
          <w:rPr>
            <w:rFonts w:ascii="仿宋" w:eastAsia="仿宋" w:hAnsi="仿宋" w:hint="eastAsia"/>
            <w:color w:val="000000" w:themeColor="text1"/>
            <w:sz w:val="30"/>
            <w:szCs w:val="30"/>
          </w:rPr>
          <w:t>利率</w:t>
        </w:r>
      </w:hyperlink>
      <w:r w:rsidRPr="0093646D">
        <w:rPr>
          <w:rFonts w:ascii="仿宋" w:eastAsia="仿宋" w:hAnsi="仿宋" w:hint="eastAsia"/>
          <w:color w:val="000000" w:themeColor="text1"/>
          <w:sz w:val="30"/>
          <w:szCs w:val="30"/>
        </w:rPr>
        <w:t>和汇率市场化改革进一步深化，市场预期不断改善，促进国际收支平衡、跨境</w:t>
      </w:r>
      <w:hyperlink r:id="rId14" w:tgtFrame="_blank" w:history="1">
        <w:r w:rsidRPr="0093646D">
          <w:rPr>
            <w:rFonts w:ascii="仿宋" w:eastAsia="仿宋" w:hAnsi="仿宋" w:hint="eastAsia"/>
            <w:color w:val="000000" w:themeColor="text1"/>
            <w:sz w:val="30"/>
            <w:szCs w:val="30"/>
          </w:rPr>
          <w:t>资金流</w:t>
        </w:r>
      </w:hyperlink>
      <w:r w:rsidRPr="0093646D">
        <w:rPr>
          <w:rFonts w:ascii="仿宋" w:eastAsia="仿宋" w:hAnsi="仿宋" w:hint="eastAsia"/>
          <w:color w:val="000000" w:themeColor="text1"/>
          <w:sz w:val="30"/>
          <w:szCs w:val="30"/>
        </w:rPr>
        <w:t>动保持平稳的基础将更加坚实，有利于外汇储备保持总体稳定。</w:t>
      </w:r>
    </w:p>
    <w:p w:rsidR="00A33952" w:rsidRPr="0093646D" w:rsidRDefault="006C722D" w:rsidP="0093646D">
      <w:pPr>
        <w:spacing w:line="520" w:lineRule="exact"/>
        <w:ind w:firstLineChars="200" w:firstLine="602"/>
        <w:rPr>
          <w:rFonts w:ascii="仿宋" w:eastAsia="仿宋" w:hAnsi="仿宋" w:cs="宋体"/>
          <w:b/>
          <w:bCs/>
          <w:color w:val="000000" w:themeColor="text1"/>
          <w:sz w:val="30"/>
          <w:szCs w:val="30"/>
        </w:rPr>
      </w:pPr>
      <w:r w:rsidRPr="0093646D">
        <w:rPr>
          <w:rFonts w:ascii="仿宋" w:eastAsia="仿宋" w:hAnsi="仿宋" w:cs="宋体" w:hint="eastAsia"/>
          <w:b/>
          <w:bCs/>
          <w:color w:val="000000" w:themeColor="text1"/>
          <w:sz w:val="30"/>
          <w:szCs w:val="30"/>
        </w:rPr>
        <w:t>（五）中央经济工作会议重点：明年经济六大看点</w:t>
      </w:r>
    </w:p>
    <w:p w:rsidR="00A33952" w:rsidRPr="0093646D" w:rsidRDefault="006C722D" w:rsidP="0093646D">
      <w:pPr>
        <w:spacing w:line="520" w:lineRule="exact"/>
        <w:ind w:firstLineChars="198" w:firstLine="594"/>
        <w:rPr>
          <w:rFonts w:ascii="仿宋" w:eastAsia="仿宋" w:hAnsi="仿宋"/>
          <w:color w:val="000000" w:themeColor="text1"/>
          <w:sz w:val="30"/>
          <w:szCs w:val="30"/>
        </w:rPr>
      </w:pPr>
      <w:r w:rsidRPr="0093646D">
        <w:rPr>
          <w:rFonts w:ascii="仿宋" w:eastAsia="仿宋" w:hAnsi="仿宋" w:hint="eastAsia"/>
          <w:color w:val="000000" w:themeColor="text1"/>
          <w:sz w:val="30"/>
          <w:szCs w:val="30"/>
        </w:rPr>
        <w:t>新华网12月22日报道，中央经济工作会议18日至20日在北京举行，此次会议延续了中央政治局会议锚定的“新风向”，对2018年全年的经济工作划出重点，其中有六大看点最为突出。</w:t>
      </w:r>
      <w:r w:rsidRPr="0093646D">
        <w:rPr>
          <w:rFonts w:ascii="仿宋" w:eastAsia="仿宋" w:hAnsi="仿宋" w:hint="eastAsia"/>
          <w:color w:val="000000" w:themeColor="text1"/>
          <w:sz w:val="30"/>
          <w:szCs w:val="30"/>
        </w:rPr>
        <w:lastRenderedPageBreak/>
        <w:t>一是“稳中求进”仍是“主基调”还需“长期坚持”，二是高质量发展是根本发展要求，三是加快住房制度改革和长效机制建设，四是乡村振兴战略将成农村工作重点，五是推动形成全面开放新格局，六是推动国有资本做强做优做大。</w:t>
      </w:r>
    </w:p>
    <w:p w:rsidR="00A33952" w:rsidRPr="0093646D" w:rsidRDefault="006C722D" w:rsidP="0093646D">
      <w:pPr>
        <w:spacing w:line="520" w:lineRule="exact"/>
        <w:ind w:firstLineChars="198" w:firstLine="596"/>
        <w:rPr>
          <w:rFonts w:ascii="仿宋" w:eastAsia="仿宋" w:hAnsi="仿宋" w:cs="仿宋"/>
          <w:b/>
          <w:bCs/>
          <w:color w:val="000000" w:themeColor="text1"/>
          <w:kern w:val="0"/>
          <w:sz w:val="30"/>
          <w:szCs w:val="30"/>
        </w:rPr>
      </w:pPr>
      <w:r w:rsidRPr="0093646D">
        <w:rPr>
          <w:rFonts w:ascii="仿宋" w:eastAsia="仿宋" w:hAnsi="仿宋" w:cs="仿宋" w:hint="eastAsia"/>
          <w:b/>
          <w:bCs/>
          <w:color w:val="000000" w:themeColor="text1"/>
          <w:kern w:val="0"/>
          <w:sz w:val="30"/>
          <w:szCs w:val="30"/>
        </w:rPr>
        <w:t>（六）</w:t>
      </w:r>
      <w:hyperlink r:id="rId15" w:tgtFrame="https://www.baidu.com/_blank" w:history="1">
        <w:r w:rsidRPr="0093646D">
          <w:rPr>
            <w:rFonts w:ascii="仿宋" w:eastAsia="仿宋" w:hAnsi="仿宋" w:cs="仿宋" w:hint="eastAsia"/>
            <w:b/>
            <w:bCs/>
            <w:color w:val="000000" w:themeColor="text1"/>
            <w:kern w:val="0"/>
            <w:sz w:val="30"/>
            <w:szCs w:val="30"/>
          </w:rPr>
          <w:t>美升息预期与香港可建房屋供应超标 港高房价困局露曙光</w:t>
        </w:r>
      </w:hyperlink>
    </w:p>
    <w:p w:rsidR="00A33952" w:rsidRPr="0093646D" w:rsidRDefault="006C722D" w:rsidP="0093646D">
      <w:pPr>
        <w:adjustRightInd w:val="0"/>
        <w:snapToGrid w:val="0"/>
        <w:spacing w:line="520" w:lineRule="exact"/>
        <w:rPr>
          <w:rFonts w:ascii="仿宋" w:eastAsia="仿宋" w:hAnsi="仿宋" w:cs="仿宋"/>
          <w:color w:val="000000" w:themeColor="text1"/>
          <w:kern w:val="0"/>
          <w:sz w:val="30"/>
          <w:szCs w:val="30"/>
        </w:rPr>
      </w:pPr>
      <w:r w:rsidRPr="0093646D">
        <w:rPr>
          <w:rFonts w:ascii="仿宋" w:eastAsia="仿宋" w:hAnsi="仿宋" w:cs="仿宋" w:hint="eastAsia"/>
          <w:color w:val="000000" w:themeColor="text1"/>
          <w:kern w:val="0"/>
          <w:sz w:val="30"/>
          <w:szCs w:val="30"/>
        </w:rPr>
        <w:t xml:space="preserve">    FX168财经12月19日报道，近年港府为了应对高房价问题，积极增加土地供应，并且最新公布2017至2018财政年度私人可建单位合共提供2.43万个，比1.8万的原定目标高出35%，而且未来也会持续积极增加土地供应。加上美国延续加息周期，最新数据显示，联邦储备局于2018年3月会议上，有超过一半机会再加息，使得解决香港高房价困局渐露曙光。事实上，受到美国加息预期影响，港元拆息近期明显上升，其中与房货按揭息息相关的1个月港元银行同业拆息持续续处于逾1.1厘的接近10年高位。至于香港银行体系结余，12月21日预计为1796.91亿港元。香港发展局局长黄伟纶指出港府不能依靠单一土地供应来源，会继续多方面增加土地供应，满足各界的土地需求，强调港府不会刻意留起土地不推售。</w:t>
      </w:r>
    </w:p>
    <w:p w:rsidR="00A33952" w:rsidRDefault="00A33952" w:rsidP="0093646D">
      <w:pPr>
        <w:spacing w:line="520" w:lineRule="exact"/>
        <w:ind w:firstLineChars="198" w:firstLine="596"/>
        <w:rPr>
          <w:rFonts w:ascii="仿宋" w:eastAsia="仿宋" w:hAnsi="仿宋"/>
          <w:b/>
          <w:bCs/>
          <w:color w:val="FF0000"/>
          <w:sz w:val="30"/>
          <w:szCs w:val="30"/>
        </w:rPr>
      </w:pPr>
    </w:p>
    <w:p w:rsidR="00A33952" w:rsidRDefault="00A33952">
      <w:pPr>
        <w:adjustRightInd w:val="0"/>
        <w:snapToGrid w:val="0"/>
        <w:spacing w:line="520" w:lineRule="exact"/>
        <w:rPr>
          <w:rFonts w:ascii="仿宋" w:eastAsia="仿宋" w:hAnsi="仿宋" w:cs="仿宋"/>
          <w:b/>
          <w:bCs/>
          <w:color w:val="000000" w:themeColor="text1"/>
          <w:kern w:val="0"/>
          <w:sz w:val="30"/>
          <w:szCs w:val="30"/>
        </w:rPr>
      </w:pPr>
    </w:p>
    <w:p w:rsidR="0093646D" w:rsidRDefault="0093646D">
      <w:pPr>
        <w:adjustRightInd w:val="0"/>
        <w:snapToGrid w:val="0"/>
        <w:spacing w:line="520" w:lineRule="exact"/>
        <w:rPr>
          <w:rFonts w:ascii="仿宋" w:eastAsia="仿宋" w:hAnsi="仿宋" w:cs="仿宋"/>
          <w:b/>
          <w:bCs/>
          <w:color w:val="000000" w:themeColor="text1"/>
          <w:kern w:val="0"/>
          <w:sz w:val="30"/>
          <w:szCs w:val="30"/>
        </w:rPr>
      </w:pPr>
    </w:p>
    <w:p w:rsidR="0093646D" w:rsidRDefault="0093646D">
      <w:pPr>
        <w:adjustRightInd w:val="0"/>
        <w:snapToGrid w:val="0"/>
        <w:spacing w:line="520" w:lineRule="exact"/>
        <w:rPr>
          <w:rFonts w:ascii="仿宋" w:eastAsia="仿宋" w:hAnsi="仿宋" w:cs="仿宋"/>
          <w:b/>
          <w:bCs/>
          <w:color w:val="000000" w:themeColor="text1"/>
          <w:kern w:val="0"/>
          <w:sz w:val="30"/>
          <w:szCs w:val="30"/>
        </w:rPr>
      </w:pPr>
    </w:p>
    <w:p w:rsidR="00A33952" w:rsidRDefault="00EF46B1" w:rsidP="00EF46B1">
      <w:pPr>
        <w:adjustRightInd w:val="0"/>
        <w:snapToGrid w:val="0"/>
        <w:spacing w:line="520" w:lineRule="exact"/>
        <w:ind w:firstLineChars="196" w:firstLine="549"/>
        <w:rPr>
          <w:rFonts w:ascii="仿宋" w:eastAsia="仿宋" w:hAnsi="仿宋" w:cs="仿宋"/>
          <w:b/>
          <w:bCs/>
          <w:color w:val="000000" w:themeColor="text1"/>
          <w:kern w:val="0"/>
          <w:sz w:val="30"/>
          <w:szCs w:val="30"/>
        </w:rPr>
      </w:pPr>
      <w:r>
        <w:rPr>
          <w:rFonts w:ascii="仿宋_GB2312" w:eastAsia="仿宋_GB2312" w:hint="eastAsia"/>
          <w:color w:val="000000" w:themeColor="text1"/>
          <w:sz w:val="28"/>
          <w:szCs w:val="28"/>
        </w:rPr>
        <w:t xml:space="preserve">             </w:t>
      </w:r>
      <w:r w:rsidR="007F2294">
        <w:rPr>
          <w:rFonts w:ascii="仿宋_GB2312" w:eastAsia="仿宋_GB2312" w:hint="eastAsia"/>
          <w:color w:val="000000" w:themeColor="text1"/>
          <w:sz w:val="28"/>
          <w:szCs w:val="28"/>
        </w:rPr>
        <w:t xml:space="preserve"> </w:t>
      </w:r>
      <w:r w:rsidR="007F2294">
        <w:rPr>
          <w:rFonts w:ascii="宋体" w:eastAsia="宋体" w:hAnsi="宋体" w:cs="宋体" w:hint="eastAsia"/>
          <w:color w:val="000000" w:themeColor="text1"/>
          <w:sz w:val="28"/>
          <w:szCs w:val="28"/>
        </w:rPr>
        <w:t xml:space="preserve"> </w:t>
      </w:r>
      <w:r w:rsidR="007F2294">
        <w:rPr>
          <w:rFonts w:ascii="仿宋_GB2312" w:eastAsia="仿宋_GB2312" w:hAnsi="仿宋_GB2312" w:cs="仿宋_GB2312" w:hint="eastAsia"/>
          <w:color w:val="000000" w:themeColor="text1"/>
          <w:sz w:val="28"/>
          <w:szCs w:val="28"/>
        </w:rPr>
        <w:t xml:space="preserve">               二</w:t>
      </w:r>
      <w:r w:rsidR="007F2294">
        <w:rPr>
          <w:rFonts w:ascii="宋体" w:eastAsia="宋体" w:hAnsi="宋体" w:cs="宋体" w:hint="eastAsia"/>
          <w:color w:val="000000" w:themeColor="text1"/>
          <w:sz w:val="28"/>
          <w:szCs w:val="28"/>
        </w:rPr>
        <w:t>〇</w:t>
      </w:r>
      <w:r w:rsidR="007F2294">
        <w:rPr>
          <w:rFonts w:ascii="仿宋_GB2312" w:eastAsia="仿宋_GB2312" w:hAnsi="仿宋_GB2312" w:cs="仿宋_GB2312" w:hint="eastAsia"/>
          <w:color w:val="000000" w:themeColor="text1"/>
          <w:sz w:val="28"/>
          <w:szCs w:val="28"/>
        </w:rPr>
        <w:t>一七年十二月二十八日</w:t>
      </w:r>
    </w:p>
    <w:sectPr w:rsidR="00A33952" w:rsidSect="00A339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43B" w:rsidRDefault="005E043B" w:rsidP="0093646D">
      <w:r>
        <w:separator/>
      </w:r>
    </w:p>
  </w:endnote>
  <w:endnote w:type="continuationSeparator" w:id="0">
    <w:p w:rsidR="005E043B" w:rsidRDefault="005E043B" w:rsidP="009364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43B" w:rsidRDefault="005E043B" w:rsidP="0093646D">
      <w:r>
        <w:separator/>
      </w:r>
    </w:p>
  </w:footnote>
  <w:footnote w:type="continuationSeparator" w:id="0">
    <w:p w:rsidR="005E043B" w:rsidRDefault="005E043B" w:rsidP="009364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81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6AC4ECF"/>
    <w:rsid w:val="000A1B8A"/>
    <w:rsid w:val="000B4CAF"/>
    <w:rsid w:val="000B6F50"/>
    <w:rsid w:val="000E16C1"/>
    <w:rsid w:val="00110A16"/>
    <w:rsid w:val="00162CBC"/>
    <w:rsid w:val="001850FF"/>
    <w:rsid w:val="00300485"/>
    <w:rsid w:val="00306F47"/>
    <w:rsid w:val="00346BF1"/>
    <w:rsid w:val="00405817"/>
    <w:rsid w:val="00486D5F"/>
    <w:rsid w:val="004914B4"/>
    <w:rsid w:val="004F48FE"/>
    <w:rsid w:val="00567CAB"/>
    <w:rsid w:val="00596CEF"/>
    <w:rsid w:val="005D24F4"/>
    <w:rsid w:val="005D5BCB"/>
    <w:rsid w:val="005E0063"/>
    <w:rsid w:val="005E043B"/>
    <w:rsid w:val="005E74AF"/>
    <w:rsid w:val="006524D9"/>
    <w:rsid w:val="006C722D"/>
    <w:rsid w:val="006E05C3"/>
    <w:rsid w:val="00702EB7"/>
    <w:rsid w:val="00706E7D"/>
    <w:rsid w:val="00742C40"/>
    <w:rsid w:val="00756883"/>
    <w:rsid w:val="00782EA6"/>
    <w:rsid w:val="007D47DC"/>
    <w:rsid w:val="007D6131"/>
    <w:rsid w:val="007E48CA"/>
    <w:rsid w:val="007F2294"/>
    <w:rsid w:val="0083324B"/>
    <w:rsid w:val="00853179"/>
    <w:rsid w:val="008621E6"/>
    <w:rsid w:val="00925EB5"/>
    <w:rsid w:val="0093646D"/>
    <w:rsid w:val="00950EE0"/>
    <w:rsid w:val="00956520"/>
    <w:rsid w:val="00957056"/>
    <w:rsid w:val="009655DB"/>
    <w:rsid w:val="00A12C23"/>
    <w:rsid w:val="00A31365"/>
    <w:rsid w:val="00A33952"/>
    <w:rsid w:val="00A621AA"/>
    <w:rsid w:val="00A90475"/>
    <w:rsid w:val="00A905A4"/>
    <w:rsid w:val="00AD7E99"/>
    <w:rsid w:val="00B142E1"/>
    <w:rsid w:val="00B77991"/>
    <w:rsid w:val="00BA24DD"/>
    <w:rsid w:val="00BC17AB"/>
    <w:rsid w:val="00BD5F1C"/>
    <w:rsid w:val="00CA5673"/>
    <w:rsid w:val="00D23A14"/>
    <w:rsid w:val="00DB6645"/>
    <w:rsid w:val="00DC2ED4"/>
    <w:rsid w:val="00EC7B06"/>
    <w:rsid w:val="00ED74CA"/>
    <w:rsid w:val="00EF46B1"/>
    <w:rsid w:val="00F65E82"/>
    <w:rsid w:val="00FA0A63"/>
    <w:rsid w:val="00FB73FF"/>
    <w:rsid w:val="00FF7852"/>
    <w:rsid w:val="16AC4ECF"/>
    <w:rsid w:val="4B81638A"/>
    <w:rsid w:val="5F0A5DDE"/>
    <w:rsid w:val="6A2F43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3952"/>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A33952"/>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next w:val="a"/>
    <w:unhideWhenUsed/>
    <w:qFormat/>
    <w:rsid w:val="00A33952"/>
    <w:pPr>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1"/>
    <w:qFormat/>
    <w:rsid w:val="00A33952"/>
    <w:pPr>
      <w:spacing w:line="360" w:lineRule="auto"/>
      <w:ind w:firstLineChars="192" w:firstLine="538"/>
    </w:pPr>
    <w:rPr>
      <w:rFonts w:ascii="仿宋_GB2312" w:eastAsia="仿宋_GB2312" w:hAnsi="宋体" w:cs="仿宋_GB2312"/>
      <w:color w:val="000000"/>
      <w:sz w:val="28"/>
      <w:szCs w:val="28"/>
    </w:rPr>
  </w:style>
  <w:style w:type="paragraph" w:styleId="a3">
    <w:name w:val="footer"/>
    <w:basedOn w:val="a"/>
    <w:link w:val="Char"/>
    <w:rsid w:val="00A33952"/>
    <w:pPr>
      <w:tabs>
        <w:tab w:val="center" w:pos="4153"/>
        <w:tab w:val="right" w:pos="8306"/>
      </w:tabs>
      <w:snapToGrid w:val="0"/>
      <w:jc w:val="left"/>
    </w:pPr>
    <w:rPr>
      <w:sz w:val="18"/>
      <w:szCs w:val="18"/>
    </w:rPr>
  </w:style>
  <w:style w:type="paragraph" w:styleId="a4">
    <w:name w:val="header"/>
    <w:basedOn w:val="a"/>
    <w:link w:val="Char0"/>
    <w:rsid w:val="00A33952"/>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A33952"/>
    <w:pPr>
      <w:widowControl/>
      <w:spacing w:before="100" w:beforeAutospacing="1" w:after="100" w:afterAutospacing="1"/>
      <w:jc w:val="left"/>
    </w:pPr>
    <w:rPr>
      <w:rFonts w:ascii="宋体" w:hAnsi="宋体" w:cs="宋体"/>
      <w:kern w:val="0"/>
      <w:sz w:val="24"/>
    </w:rPr>
  </w:style>
  <w:style w:type="character" w:styleId="a6">
    <w:name w:val="Strong"/>
    <w:basedOn w:val="a0"/>
    <w:qFormat/>
    <w:rsid w:val="00A33952"/>
    <w:rPr>
      <w:b/>
    </w:rPr>
  </w:style>
  <w:style w:type="character" w:styleId="a7">
    <w:name w:val="FollowedHyperlink"/>
    <w:basedOn w:val="a0"/>
    <w:rsid w:val="00A33952"/>
    <w:rPr>
      <w:color w:val="434343"/>
      <w:sz w:val="18"/>
      <w:szCs w:val="18"/>
      <w:u w:val="none"/>
    </w:rPr>
  </w:style>
  <w:style w:type="character" w:styleId="a8">
    <w:name w:val="Emphasis"/>
    <w:basedOn w:val="a0"/>
    <w:qFormat/>
    <w:rsid w:val="00A33952"/>
    <w:rPr>
      <w:color w:val="CC0000"/>
    </w:rPr>
  </w:style>
  <w:style w:type="character" w:styleId="a9">
    <w:name w:val="Hyperlink"/>
    <w:basedOn w:val="a0"/>
    <w:rsid w:val="00A33952"/>
    <w:rPr>
      <w:color w:val="0000FF"/>
      <w:u w:val="single"/>
    </w:rPr>
  </w:style>
  <w:style w:type="character" w:styleId="HTML">
    <w:name w:val="HTML Cite"/>
    <w:basedOn w:val="a0"/>
    <w:rsid w:val="00A33952"/>
    <w:rPr>
      <w:color w:val="008000"/>
    </w:rPr>
  </w:style>
  <w:style w:type="paragraph" w:customStyle="1" w:styleId="7">
    <w:name w:val="无间隔7"/>
    <w:qFormat/>
    <w:rsid w:val="00A33952"/>
    <w:pPr>
      <w:widowControl w:val="0"/>
      <w:jc w:val="both"/>
    </w:pPr>
    <w:rPr>
      <w:kern w:val="2"/>
      <w:sz w:val="21"/>
      <w:szCs w:val="24"/>
    </w:rPr>
  </w:style>
  <w:style w:type="character" w:customStyle="1" w:styleId="Char0">
    <w:name w:val="页眉 Char"/>
    <w:basedOn w:val="a0"/>
    <w:link w:val="a4"/>
    <w:rsid w:val="00A33952"/>
    <w:rPr>
      <w:kern w:val="2"/>
      <w:sz w:val="18"/>
      <w:szCs w:val="18"/>
    </w:rPr>
  </w:style>
  <w:style w:type="character" w:customStyle="1" w:styleId="Char">
    <w:name w:val="页脚 Char"/>
    <w:basedOn w:val="a0"/>
    <w:link w:val="a3"/>
    <w:rsid w:val="00A33952"/>
    <w:rPr>
      <w:kern w:val="2"/>
      <w:sz w:val="18"/>
      <w:szCs w:val="18"/>
    </w:rPr>
  </w:style>
  <w:style w:type="character" w:customStyle="1" w:styleId="2Char">
    <w:name w:val="正文文本缩进 2 Char"/>
    <w:basedOn w:val="a0"/>
    <w:link w:val="2"/>
    <w:rsid w:val="00A33952"/>
    <w:rPr>
      <w:kern w:val="2"/>
      <w:sz w:val="21"/>
      <w:szCs w:val="24"/>
    </w:rPr>
  </w:style>
  <w:style w:type="character" w:customStyle="1" w:styleId="2Char1">
    <w:name w:val="正文文本缩进 2 Char1"/>
    <w:basedOn w:val="a0"/>
    <w:link w:val="2"/>
    <w:qFormat/>
    <w:rsid w:val="00A33952"/>
    <w:rPr>
      <w:rFonts w:ascii="仿宋_GB2312" w:eastAsia="仿宋_GB2312" w:hAnsi="宋体" w:cs="仿宋_GB2312"/>
      <w:color w:val="000000"/>
      <w:kern w:val="2"/>
      <w:sz w:val="28"/>
      <w:szCs w:val="28"/>
    </w:rPr>
  </w:style>
  <w:style w:type="paragraph" w:customStyle="1" w:styleId="aa">
    <w:basedOn w:val="a"/>
    <w:next w:val="a"/>
    <w:rsid w:val="00A33952"/>
    <w:pPr>
      <w:pBdr>
        <w:bottom w:val="single" w:sz="6" w:space="1" w:color="auto"/>
      </w:pBdr>
      <w:jc w:val="center"/>
    </w:pPr>
    <w:rPr>
      <w:rFonts w:ascii="Arial" w:eastAsia="宋体"/>
      <w:vanish/>
      <w:sz w:val="16"/>
    </w:rPr>
  </w:style>
  <w:style w:type="paragraph" w:customStyle="1" w:styleId="ab">
    <w:basedOn w:val="a"/>
    <w:next w:val="a"/>
    <w:rsid w:val="00A33952"/>
    <w:pPr>
      <w:pBdr>
        <w:top w:val="single" w:sz="6" w:space="1" w:color="auto"/>
      </w:pBdr>
      <w:jc w:val="center"/>
    </w:pPr>
    <w:rPr>
      <w:rFonts w:ascii="Arial" w:eastAsia="宋体"/>
      <w:vanish/>
      <w:sz w:val="16"/>
    </w:rPr>
  </w:style>
  <w:style w:type="character" w:customStyle="1" w:styleId="hover14">
    <w:name w:val="hover14"/>
    <w:basedOn w:val="a0"/>
    <w:rsid w:val="00A33952"/>
    <w:rPr>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tock.eastmoney.com/hangye/hy475.html" TargetMode="External"/><Relationship Id="rId13" Type="http://schemas.openxmlformats.org/officeDocument/2006/relationships/hyperlink" Target="http://data.eastmoney.com/cjsj/yhll.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ta.eastmoney.com/cjsj/hjwh.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ck.eastmoney.com/hangye/hy475.html" TargetMode="External"/><Relationship Id="rId5" Type="http://schemas.openxmlformats.org/officeDocument/2006/relationships/webSettings" Target="webSettings.xml"/><Relationship Id="rId15" Type="http://schemas.openxmlformats.org/officeDocument/2006/relationships/hyperlink" Target="https://www.baidu.com/link?url=vWubggwiWDsAQMx-1Anii0B82uAjwcjrxGjf4iQ8V8cvSgw3r3RjWPUsTuomwtlZogIOFu_SBdGmi5KnPYsnG_&amp;wd=&amp;eqid=c331c1cf0000481e000000045a43e292" TargetMode="External"/><Relationship Id="rId10" Type="http://schemas.openxmlformats.org/officeDocument/2006/relationships/hyperlink" Target="http://quote.eastmoney.com/sh601099.html" TargetMode="External"/><Relationship Id="rId4" Type="http://schemas.openxmlformats.org/officeDocument/2006/relationships/settings" Target="settings.xml"/><Relationship Id="rId9" Type="http://schemas.openxmlformats.org/officeDocument/2006/relationships/hyperlink" Target="http://quote.eastmoney.com/web/r/000015" TargetMode="External"/><Relationship Id="rId14" Type="http://schemas.openxmlformats.org/officeDocument/2006/relationships/hyperlink" Target="http://data.eastmoney.com/zjl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53"/>
    <customShpInfo spid="_x0000_s205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A5219B-2BFC-4CC7-96A6-B45F042E3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1086</Words>
  <Characters>6191</Characters>
  <Application>Microsoft Office Word</Application>
  <DocSecurity>0</DocSecurity>
  <Lines>51</Lines>
  <Paragraphs>14</Paragraphs>
  <ScaleCrop>false</ScaleCrop>
  <Company/>
  <LinksUpToDate>false</LinksUpToDate>
  <CharactersWithSpaces>7263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von</dc:creator>
  <cp:lastModifiedBy>打印员</cp:lastModifiedBy>
  <cp:revision>23</cp:revision>
  <dcterms:created xsi:type="dcterms:W3CDTF">2017-12-25T17:07:00Z</dcterms:created>
  <dcterms:modified xsi:type="dcterms:W3CDTF">2018-03-28T01:14:00Z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