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26" w:rsidRDefault="005E6E26" w:rsidP="005E6E26">
      <w:pPr>
        <w:autoSpaceDE w:val="0"/>
        <w:autoSpaceDN w:val="0"/>
        <w:adjustRightInd w:val="0"/>
        <w:jc w:val="left"/>
        <w:rPr>
          <w:rFonts w:ascii="仿宋_GB2312" w:eastAsia="仿宋_GB2312" w:cs="仿宋_GB2312"/>
          <w:kern w:val="0"/>
          <w:sz w:val="20"/>
          <w:szCs w:val="20"/>
        </w:rPr>
      </w:pPr>
      <w:r>
        <w:rPr>
          <w:rFonts w:ascii="仿宋_GB2312" w:eastAsia="仿宋_GB2312" w:cs="仿宋_GB2312" w:hint="eastAsia"/>
          <w:kern w:val="0"/>
          <w:sz w:val="34"/>
          <w:szCs w:val="34"/>
        </w:rPr>
        <w:t>附件</w:t>
      </w:r>
      <w:r>
        <w:rPr>
          <w:rFonts w:ascii="仿宋_GB2312" w:eastAsia="仿宋_GB2312" w:cs="仿宋_GB2312"/>
          <w:kern w:val="0"/>
          <w:sz w:val="34"/>
          <w:szCs w:val="34"/>
        </w:rPr>
        <w:t>2</w:t>
      </w:r>
    </w:p>
    <w:p w:rsidR="005E6E26" w:rsidRDefault="005E6E26" w:rsidP="005E6E26">
      <w:pPr>
        <w:pStyle w:val="CM1"/>
        <w:snapToGrid w:val="0"/>
        <w:jc w:val="center"/>
        <w:rPr>
          <w:rFonts w:asciiTheme="majorEastAsia" w:eastAsiaTheme="majorEastAsia" w:hAnsiTheme="majorEastAsia" w:cs="宋体"/>
          <w:color w:val="000000"/>
          <w:sz w:val="44"/>
          <w:szCs w:val="44"/>
        </w:rPr>
      </w:pPr>
      <w:proofErr w:type="gramStart"/>
      <w:r w:rsidRPr="005E6E26">
        <w:rPr>
          <w:rFonts w:asciiTheme="majorEastAsia" w:eastAsiaTheme="majorEastAsia" w:hAnsiTheme="majorEastAsia" w:cs="宋体" w:hint="eastAsia"/>
          <w:color w:val="000000"/>
          <w:sz w:val="44"/>
          <w:szCs w:val="44"/>
        </w:rPr>
        <w:t>《</w:t>
      </w:r>
      <w:proofErr w:type="gramEnd"/>
      <w:r w:rsidR="005C14EB" w:rsidRPr="005E6E26">
        <w:rPr>
          <w:rFonts w:asciiTheme="majorEastAsia" w:eastAsiaTheme="majorEastAsia" w:hAnsiTheme="majorEastAsia" w:cs="宋体" w:hint="eastAsia"/>
          <w:color w:val="000000"/>
          <w:sz w:val="44"/>
          <w:szCs w:val="44"/>
        </w:rPr>
        <w:t>国家外汇管理局深圳市分局涉外收入“不申报、不解付”</w:t>
      </w:r>
    </w:p>
    <w:p w:rsidR="00322DB5" w:rsidRPr="005E6E26" w:rsidRDefault="005C14EB" w:rsidP="005E6E26">
      <w:pPr>
        <w:pStyle w:val="CM1"/>
        <w:snapToGrid w:val="0"/>
        <w:jc w:val="center"/>
        <w:rPr>
          <w:rFonts w:asciiTheme="majorEastAsia" w:eastAsiaTheme="majorEastAsia" w:hAnsiTheme="majorEastAsia" w:cs="宋体"/>
          <w:color w:val="000000"/>
          <w:sz w:val="44"/>
          <w:szCs w:val="44"/>
        </w:rPr>
      </w:pPr>
      <w:r w:rsidRPr="005E6E26">
        <w:rPr>
          <w:rFonts w:asciiTheme="majorEastAsia" w:eastAsiaTheme="majorEastAsia" w:hAnsiTheme="majorEastAsia" w:cs="宋体" w:hint="eastAsia"/>
          <w:color w:val="000000"/>
          <w:sz w:val="44"/>
          <w:szCs w:val="44"/>
        </w:rPr>
        <w:t>特殊处理措施操作指引</w:t>
      </w:r>
      <w:r w:rsidR="00072403">
        <w:rPr>
          <w:rFonts w:asciiTheme="majorEastAsia" w:eastAsiaTheme="majorEastAsia" w:hAnsiTheme="majorEastAsia" w:cs="宋体" w:hint="eastAsia"/>
          <w:color w:val="000000"/>
          <w:sz w:val="44"/>
          <w:szCs w:val="44"/>
        </w:rPr>
        <w:t>（征求意见稿）</w:t>
      </w:r>
      <w:r w:rsidR="005E6E26" w:rsidRPr="005E6E26">
        <w:rPr>
          <w:rFonts w:asciiTheme="majorEastAsia" w:eastAsiaTheme="majorEastAsia" w:hAnsiTheme="majorEastAsia" w:cs="宋体" w:hint="eastAsia"/>
          <w:color w:val="000000"/>
          <w:sz w:val="44"/>
          <w:szCs w:val="44"/>
        </w:rPr>
        <w:t>》修订对照表</w:t>
      </w:r>
    </w:p>
    <w:p w:rsidR="005C14EB" w:rsidRDefault="005C14EB" w:rsidP="005C14EB">
      <w:pPr>
        <w:rPr>
          <w:rFonts w:cs="宋体"/>
          <w:b/>
          <w:color w:val="000000"/>
          <w:sz w:val="36"/>
          <w:szCs w:val="36"/>
        </w:rPr>
      </w:pPr>
    </w:p>
    <w:tbl>
      <w:tblPr>
        <w:tblStyle w:val="a3"/>
        <w:tblW w:w="0" w:type="auto"/>
        <w:tblLook w:val="04A0" w:firstRow="1" w:lastRow="0" w:firstColumn="1" w:lastColumn="0" w:noHBand="0" w:noVBand="1"/>
      </w:tblPr>
      <w:tblGrid>
        <w:gridCol w:w="1809"/>
        <w:gridCol w:w="8080"/>
        <w:gridCol w:w="4285"/>
      </w:tblGrid>
      <w:tr w:rsidR="00664B94" w:rsidTr="00F30CC8">
        <w:trPr>
          <w:trHeight w:val="610"/>
        </w:trPr>
        <w:tc>
          <w:tcPr>
            <w:tcW w:w="1809" w:type="dxa"/>
          </w:tcPr>
          <w:p w:rsidR="00664B94" w:rsidRPr="00664B94" w:rsidRDefault="00664B94" w:rsidP="00664B94">
            <w:pPr>
              <w:autoSpaceDE w:val="0"/>
              <w:autoSpaceDN w:val="0"/>
              <w:adjustRightInd w:val="0"/>
              <w:jc w:val="center"/>
              <w:rPr>
                <w:rFonts w:ascii="仿宋_GB2312" w:eastAsia="仿宋_GB2312" w:cs="宋体"/>
                <w:b/>
                <w:color w:val="000000"/>
                <w:sz w:val="32"/>
                <w:szCs w:val="32"/>
              </w:rPr>
            </w:pPr>
            <w:r w:rsidRPr="00664B94">
              <w:rPr>
                <w:rFonts w:ascii="仿宋_GB2312" w:eastAsia="仿宋_GB2312" w:cs="宋体" w:hint="eastAsia"/>
                <w:b/>
                <w:color w:val="000000"/>
                <w:sz w:val="32"/>
                <w:szCs w:val="32"/>
              </w:rPr>
              <w:t>项目</w:t>
            </w:r>
          </w:p>
        </w:tc>
        <w:tc>
          <w:tcPr>
            <w:tcW w:w="8080" w:type="dxa"/>
          </w:tcPr>
          <w:p w:rsidR="00664B94" w:rsidRPr="00664B94" w:rsidRDefault="00664B94" w:rsidP="00664B94">
            <w:pPr>
              <w:jc w:val="center"/>
              <w:rPr>
                <w:rFonts w:ascii="仿宋_GB2312" w:eastAsia="仿宋_GB2312" w:cs="宋体"/>
                <w:b/>
                <w:color w:val="000000"/>
                <w:sz w:val="32"/>
                <w:szCs w:val="32"/>
              </w:rPr>
            </w:pPr>
            <w:r w:rsidRPr="00664B94">
              <w:rPr>
                <w:rFonts w:ascii="仿宋_GB2312" w:eastAsia="仿宋_GB2312" w:cs="宋体" w:hint="eastAsia"/>
                <w:b/>
                <w:color w:val="000000"/>
                <w:sz w:val="32"/>
                <w:szCs w:val="32"/>
              </w:rPr>
              <w:t>修订说明</w:t>
            </w:r>
          </w:p>
        </w:tc>
        <w:tc>
          <w:tcPr>
            <w:tcW w:w="4285" w:type="dxa"/>
          </w:tcPr>
          <w:p w:rsidR="00664B94" w:rsidRPr="00664B94" w:rsidRDefault="00664B94" w:rsidP="00664B94">
            <w:pPr>
              <w:jc w:val="center"/>
              <w:rPr>
                <w:rFonts w:ascii="仿宋_GB2312" w:eastAsia="仿宋_GB2312" w:cs="宋体"/>
                <w:b/>
                <w:color w:val="000000"/>
                <w:sz w:val="32"/>
                <w:szCs w:val="32"/>
              </w:rPr>
            </w:pPr>
            <w:r w:rsidRPr="00664B94">
              <w:rPr>
                <w:rFonts w:ascii="仿宋_GB2312" w:eastAsia="仿宋_GB2312" w:cs="宋体" w:hint="eastAsia"/>
                <w:b/>
                <w:color w:val="000000"/>
                <w:sz w:val="32"/>
                <w:szCs w:val="32"/>
              </w:rPr>
              <w:t>备注</w:t>
            </w:r>
          </w:p>
        </w:tc>
      </w:tr>
      <w:tr w:rsidR="00664B94" w:rsidTr="00F30CC8">
        <w:trPr>
          <w:trHeight w:val="1101"/>
        </w:trPr>
        <w:tc>
          <w:tcPr>
            <w:tcW w:w="1809" w:type="dxa"/>
            <w:vAlign w:val="center"/>
          </w:tcPr>
          <w:p w:rsidR="00664B94" w:rsidRPr="005B5635" w:rsidRDefault="005B5635" w:rsidP="005B5635">
            <w:pPr>
              <w:jc w:val="center"/>
              <w:rPr>
                <w:rFonts w:ascii="仿宋_GB2312" w:eastAsia="仿宋_GB2312" w:cs="宋体"/>
                <w:color w:val="000000"/>
                <w:sz w:val="28"/>
                <w:szCs w:val="28"/>
              </w:rPr>
            </w:pPr>
            <w:r w:rsidRPr="005B5635">
              <w:rPr>
                <w:rFonts w:ascii="仿宋_GB2312" w:eastAsia="仿宋_GB2312" w:cs="宋体" w:hint="eastAsia"/>
                <w:color w:val="000000"/>
                <w:sz w:val="28"/>
                <w:szCs w:val="28"/>
              </w:rPr>
              <w:t>标题</w:t>
            </w:r>
          </w:p>
        </w:tc>
        <w:tc>
          <w:tcPr>
            <w:tcW w:w="8080" w:type="dxa"/>
            <w:vAlign w:val="center"/>
          </w:tcPr>
          <w:p w:rsidR="00664B94" w:rsidRPr="005B5635" w:rsidRDefault="005B5635" w:rsidP="005B5635">
            <w:pPr>
              <w:spacing w:line="440" w:lineRule="exact"/>
              <w:jc w:val="left"/>
              <w:rPr>
                <w:rFonts w:ascii="仿宋_GB2312" w:eastAsia="仿宋_GB2312" w:cs="宋体"/>
                <w:color w:val="000000"/>
                <w:sz w:val="28"/>
                <w:szCs w:val="28"/>
              </w:rPr>
            </w:pPr>
            <w:r w:rsidRPr="005B5635">
              <w:rPr>
                <w:rFonts w:ascii="仿宋_GB2312" w:eastAsia="仿宋_GB2312" w:cs="宋体" w:hint="eastAsia"/>
                <w:color w:val="000000"/>
                <w:sz w:val="28"/>
                <w:szCs w:val="28"/>
              </w:rPr>
              <w:t>国家外汇管理局深圳市分局</w:t>
            </w:r>
            <w:r w:rsidRPr="00FE7670">
              <w:rPr>
                <w:rFonts w:ascii="仿宋_GB2312" w:eastAsia="仿宋_GB2312" w:cs="宋体" w:hint="eastAsia"/>
                <w:b/>
                <w:color w:val="000000"/>
                <w:sz w:val="28"/>
                <w:szCs w:val="28"/>
              </w:rPr>
              <w:t>涉外收入</w:t>
            </w:r>
            <w:r w:rsidRPr="005B5635">
              <w:rPr>
                <w:rFonts w:ascii="仿宋_GB2312" w:eastAsia="仿宋_GB2312" w:cs="宋体" w:hint="eastAsia"/>
                <w:color w:val="000000"/>
                <w:sz w:val="28"/>
                <w:szCs w:val="28"/>
              </w:rPr>
              <w:t>“不申报、不解付”特殊处理措施操作指引</w:t>
            </w:r>
          </w:p>
        </w:tc>
        <w:tc>
          <w:tcPr>
            <w:tcW w:w="4285" w:type="dxa"/>
            <w:vAlign w:val="center"/>
          </w:tcPr>
          <w:p w:rsidR="00664B94" w:rsidRPr="005B5635" w:rsidRDefault="005B5635" w:rsidP="00F30CC8">
            <w:pPr>
              <w:jc w:val="left"/>
              <w:rPr>
                <w:rFonts w:ascii="仿宋_GB2312" w:eastAsia="仿宋_GB2312" w:cs="宋体"/>
                <w:color w:val="000000"/>
                <w:sz w:val="28"/>
                <w:szCs w:val="28"/>
              </w:rPr>
            </w:pPr>
            <w:r>
              <w:rPr>
                <w:rFonts w:ascii="仿宋_GB2312" w:eastAsia="仿宋_GB2312" w:cs="宋体" w:hint="eastAsia"/>
                <w:color w:val="000000"/>
                <w:sz w:val="28"/>
                <w:szCs w:val="28"/>
              </w:rPr>
              <w:t>修改标题表述</w:t>
            </w:r>
          </w:p>
        </w:tc>
      </w:tr>
      <w:tr w:rsidR="00664B94" w:rsidTr="00F30CC8">
        <w:trPr>
          <w:trHeight w:val="1556"/>
        </w:trPr>
        <w:tc>
          <w:tcPr>
            <w:tcW w:w="1809" w:type="dxa"/>
            <w:vAlign w:val="center"/>
          </w:tcPr>
          <w:p w:rsidR="00664B94" w:rsidRPr="005B5635" w:rsidRDefault="005B5635"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第一条</w:t>
            </w:r>
          </w:p>
        </w:tc>
        <w:tc>
          <w:tcPr>
            <w:tcW w:w="8080" w:type="dxa"/>
            <w:vAlign w:val="center"/>
          </w:tcPr>
          <w:p w:rsidR="00664B94" w:rsidRPr="005B5635" w:rsidRDefault="00FE7670" w:rsidP="005B5635">
            <w:pPr>
              <w:spacing w:line="440" w:lineRule="exact"/>
              <w:jc w:val="left"/>
              <w:rPr>
                <w:rFonts w:ascii="仿宋_GB2312" w:eastAsia="仿宋_GB2312" w:cs="宋体"/>
                <w:color w:val="000000"/>
                <w:sz w:val="28"/>
                <w:szCs w:val="28"/>
              </w:rPr>
            </w:pPr>
            <w:r w:rsidRPr="00FE7670">
              <w:rPr>
                <w:rFonts w:ascii="仿宋_GB2312" w:eastAsia="仿宋_GB2312" w:cs="宋体" w:hint="eastAsia"/>
                <w:color w:val="000000"/>
                <w:sz w:val="28"/>
                <w:szCs w:val="28"/>
              </w:rPr>
              <w:t>为强化辖内国际收支统计申报业务管理，提升申报主体申报意识，</w:t>
            </w:r>
            <w:r w:rsidRPr="00FE7670">
              <w:rPr>
                <w:rFonts w:ascii="仿宋_GB2312" w:eastAsia="仿宋_GB2312" w:cs="宋体" w:hint="eastAsia"/>
                <w:b/>
                <w:color w:val="000000"/>
                <w:sz w:val="28"/>
                <w:szCs w:val="28"/>
              </w:rPr>
              <w:t>根据国际收支统计申报业务相关要求</w:t>
            </w:r>
            <w:r w:rsidRPr="00FE7670">
              <w:rPr>
                <w:rFonts w:ascii="仿宋_GB2312" w:eastAsia="仿宋_GB2312" w:cs="宋体" w:hint="eastAsia"/>
                <w:color w:val="000000"/>
                <w:sz w:val="28"/>
                <w:szCs w:val="28"/>
              </w:rPr>
              <w:t>，结合深圳市国际收支申报实际情况，制定本操作指引。</w:t>
            </w:r>
          </w:p>
        </w:tc>
        <w:tc>
          <w:tcPr>
            <w:tcW w:w="4285" w:type="dxa"/>
            <w:vAlign w:val="center"/>
          </w:tcPr>
          <w:p w:rsidR="00664B94" w:rsidRPr="005B5635" w:rsidRDefault="00FE7670" w:rsidP="00F30CC8">
            <w:pPr>
              <w:jc w:val="left"/>
              <w:rPr>
                <w:rFonts w:ascii="仿宋_GB2312" w:eastAsia="仿宋_GB2312" w:cs="宋体"/>
                <w:color w:val="000000"/>
                <w:sz w:val="28"/>
                <w:szCs w:val="28"/>
              </w:rPr>
            </w:pPr>
            <w:r>
              <w:rPr>
                <w:rFonts w:ascii="仿宋_GB2312" w:eastAsia="仿宋_GB2312" w:cs="宋体" w:hint="eastAsia"/>
                <w:color w:val="000000"/>
                <w:sz w:val="28"/>
                <w:szCs w:val="28"/>
              </w:rPr>
              <w:t>更新文件依据</w:t>
            </w:r>
          </w:p>
        </w:tc>
      </w:tr>
      <w:tr w:rsidR="00664B94" w:rsidTr="00F30CC8">
        <w:trPr>
          <w:trHeight w:val="1976"/>
        </w:trPr>
        <w:tc>
          <w:tcPr>
            <w:tcW w:w="1809" w:type="dxa"/>
            <w:vAlign w:val="center"/>
          </w:tcPr>
          <w:p w:rsidR="00664B94" w:rsidRPr="005B5635" w:rsidRDefault="00FE7670" w:rsidP="00FE7670">
            <w:pPr>
              <w:jc w:val="center"/>
              <w:rPr>
                <w:rFonts w:ascii="仿宋_GB2312" w:eastAsia="仿宋_GB2312" w:cs="宋体"/>
                <w:color w:val="000000"/>
                <w:sz w:val="28"/>
                <w:szCs w:val="28"/>
              </w:rPr>
            </w:pPr>
            <w:r>
              <w:rPr>
                <w:rFonts w:ascii="仿宋_GB2312" w:eastAsia="仿宋_GB2312" w:cs="宋体" w:hint="eastAsia"/>
                <w:color w:val="000000"/>
                <w:sz w:val="28"/>
                <w:szCs w:val="28"/>
              </w:rPr>
              <w:t>第二条</w:t>
            </w:r>
          </w:p>
        </w:tc>
        <w:tc>
          <w:tcPr>
            <w:tcW w:w="8080" w:type="dxa"/>
            <w:vAlign w:val="center"/>
          </w:tcPr>
          <w:p w:rsidR="00664B94" w:rsidRPr="005B5635" w:rsidRDefault="00FE7670" w:rsidP="00FE7670">
            <w:pPr>
              <w:spacing w:line="440" w:lineRule="exact"/>
              <w:jc w:val="left"/>
              <w:rPr>
                <w:rFonts w:ascii="仿宋_GB2312" w:eastAsia="仿宋_GB2312" w:cs="宋体"/>
                <w:color w:val="000000"/>
                <w:sz w:val="28"/>
                <w:szCs w:val="28"/>
              </w:rPr>
            </w:pPr>
            <w:r w:rsidRPr="00FE7670">
              <w:rPr>
                <w:rFonts w:ascii="仿宋_GB2312" w:eastAsia="仿宋_GB2312" w:cs="宋体" w:hint="eastAsia"/>
                <w:color w:val="000000"/>
                <w:sz w:val="28"/>
                <w:szCs w:val="28"/>
              </w:rPr>
              <w:t>机构申报主体未在解付银行/结汇中转行为其涉外收入款项解付/结汇之日后的五个工作日内按规定办理涉外收入申报，</w:t>
            </w:r>
            <w:r w:rsidRPr="00F26BE5">
              <w:rPr>
                <w:rFonts w:ascii="仿宋_GB2312" w:eastAsia="仿宋_GB2312" w:cs="宋体" w:hint="eastAsia"/>
                <w:b/>
                <w:color w:val="000000"/>
                <w:sz w:val="28"/>
                <w:szCs w:val="28"/>
              </w:rPr>
              <w:t>情节严重的</w:t>
            </w:r>
            <w:r w:rsidR="00604C87">
              <w:rPr>
                <w:rFonts w:ascii="仿宋_GB2312" w:eastAsia="仿宋_GB2312" w:cs="宋体" w:hint="eastAsia"/>
                <w:b/>
                <w:color w:val="000000"/>
                <w:sz w:val="28"/>
                <w:szCs w:val="28"/>
              </w:rPr>
              <w:t>，国际外汇管理局深圳市分局（以下简称“外汇局”）对该申报主体</w:t>
            </w:r>
            <w:r w:rsidRPr="00F26BE5">
              <w:rPr>
                <w:rFonts w:ascii="仿宋_GB2312" w:eastAsia="仿宋_GB2312" w:cs="宋体" w:hint="eastAsia"/>
                <w:b/>
                <w:color w:val="000000"/>
                <w:sz w:val="28"/>
                <w:szCs w:val="28"/>
              </w:rPr>
              <w:t>执行</w:t>
            </w:r>
            <w:r w:rsidR="005165FD">
              <w:rPr>
                <w:rFonts w:ascii="仿宋_GB2312" w:eastAsia="仿宋_GB2312" w:cs="宋体" w:hint="eastAsia"/>
                <w:b/>
                <w:color w:val="000000"/>
                <w:sz w:val="28"/>
                <w:szCs w:val="28"/>
              </w:rPr>
              <w:t>涉外</w:t>
            </w:r>
            <w:r w:rsidRPr="00F26BE5">
              <w:rPr>
                <w:rFonts w:ascii="仿宋_GB2312" w:eastAsia="仿宋_GB2312" w:cs="宋体" w:hint="eastAsia"/>
                <w:b/>
                <w:color w:val="000000"/>
                <w:sz w:val="28"/>
                <w:szCs w:val="28"/>
              </w:rPr>
              <w:t>收入“不申报、不解付”特殊处理措施。</w:t>
            </w:r>
          </w:p>
        </w:tc>
        <w:tc>
          <w:tcPr>
            <w:tcW w:w="4285" w:type="dxa"/>
            <w:vAlign w:val="center"/>
          </w:tcPr>
          <w:p w:rsidR="00664B94" w:rsidRPr="005B5635" w:rsidRDefault="00D12E7A" w:rsidP="00F30CC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因与申报业务实施细则重复，</w:t>
            </w:r>
            <w:r w:rsidR="004F1232">
              <w:rPr>
                <w:rFonts w:ascii="仿宋_GB2312" w:eastAsia="仿宋_GB2312" w:cs="宋体" w:hint="eastAsia"/>
                <w:color w:val="000000"/>
                <w:sz w:val="28"/>
                <w:szCs w:val="28"/>
              </w:rPr>
              <w:t>删除</w:t>
            </w:r>
            <w:r>
              <w:rPr>
                <w:rFonts w:ascii="仿宋_GB2312" w:eastAsia="仿宋_GB2312" w:cs="宋体" w:hint="eastAsia"/>
                <w:color w:val="000000"/>
                <w:sz w:val="28"/>
                <w:szCs w:val="28"/>
              </w:rPr>
              <w:t>纸质和网上申报方式</w:t>
            </w:r>
            <w:r w:rsidR="00AC48E5">
              <w:rPr>
                <w:rFonts w:ascii="仿宋_GB2312" w:eastAsia="仿宋_GB2312" w:cs="宋体" w:hint="eastAsia"/>
                <w:color w:val="000000"/>
                <w:sz w:val="28"/>
                <w:szCs w:val="28"/>
              </w:rPr>
              <w:t>解释</w:t>
            </w:r>
            <w:r>
              <w:rPr>
                <w:rFonts w:ascii="仿宋_GB2312" w:eastAsia="仿宋_GB2312" w:cs="宋体" w:hint="eastAsia"/>
                <w:color w:val="000000"/>
                <w:sz w:val="28"/>
                <w:szCs w:val="28"/>
              </w:rPr>
              <w:t>。</w:t>
            </w:r>
            <w:r w:rsidR="002A17A4">
              <w:rPr>
                <w:rFonts w:ascii="仿宋_GB2312" w:eastAsia="仿宋_GB2312" w:cs="宋体" w:hint="eastAsia"/>
                <w:color w:val="000000"/>
                <w:sz w:val="28"/>
                <w:szCs w:val="28"/>
              </w:rPr>
              <w:t>补充执行标准</w:t>
            </w:r>
            <w:r w:rsidRPr="005B5635">
              <w:rPr>
                <w:rFonts w:ascii="仿宋_GB2312" w:eastAsia="仿宋_GB2312" w:cs="宋体" w:hint="eastAsia"/>
                <w:color w:val="000000"/>
                <w:sz w:val="28"/>
                <w:szCs w:val="28"/>
              </w:rPr>
              <w:t xml:space="preserve"> </w:t>
            </w:r>
          </w:p>
        </w:tc>
      </w:tr>
      <w:tr w:rsidR="00664B94" w:rsidTr="007B4758">
        <w:trPr>
          <w:trHeight w:val="3396"/>
        </w:trPr>
        <w:tc>
          <w:tcPr>
            <w:tcW w:w="1809" w:type="dxa"/>
            <w:vAlign w:val="center"/>
          </w:tcPr>
          <w:p w:rsidR="00664B94" w:rsidRPr="005B5635" w:rsidRDefault="00A8443B"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lastRenderedPageBreak/>
              <w:t>第三条</w:t>
            </w:r>
          </w:p>
        </w:tc>
        <w:tc>
          <w:tcPr>
            <w:tcW w:w="8080" w:type="dxa"/>
            <w:vAlign w:val="center"/>
          </w:tcPr>
          <w:p w:rsidR="00A8443B" w:rsidRPr="00A8443B" w:rsidRDefault="00A8443B" w:rsidP="008266BA">
            <w:pPr>
              <w:pStyle w:val="Default"/>
              <w:snapToGrid w:val="0"/>
              <w:spacing w:line="440" w:lineRule="exact"/>
              <w:rPr>
                <w:rFonts w:cs="宋体"/>
                <w:kern w:val="2"/>
                <w:sz w:val="28"/>
                <w:szCs w:val="28"/>
              </w:rPr>
            </w:pPr>
            <w:r w:rsidRPr="00A8443B">
              <w:rPr>
                <w:rFonts w:cs="宋体" w:hint="eastAsia"/>
                <w:kern w:val="2"/>
                <w:sz w:val="28"/>
                <w:szCs w:val="28"/>
              </w:rPr>
              <w:t>机构申报主体拒不履行国际收支统计</w:t>
            </w:r>
            <w:r w:rsidR="001F6EFD" w:rsidRPr="001F6EFD">
              <w:rPr>
                <w:rFonts w:cs="宋体" w:hint="eastAsia"/>
                <w:kern w:val="2"/>
                <w:sz w:val="28"/>
                <w:szCs w:val="28"/>
              </w:rPr>
              <w:t>涉外收入</w:t>
            </w:r>
            <w:r w:rsidRPr="00A8443B">
              <w:rPr>
                <w:rFonts w:cs="宋体" w:hint="eastAsia"/>
                <w:kern w:val="2"/>
                <w:sz w:val="28"/>
                <w:szCs w:val="28"/>
              </w:rPr>
              <w:t>申报义务，存在以下情形之一者，视为情节严重：</w:t>
            </w:r>
            <w:r w:rsidRPr="00A8443B">
              <w:rPr>
                <w:rFonts w:cs="宋体"/>
                <w:kern w:val="2"/>
                <w:sz w:val="28"/>
                <w:szCs w:val="28"/>
              </w:rPr>
              <w:t xml:space="preserve"> </w:t>
            </w:r>
          </w:p>
          <w:p w:rsidR="00A8443B" w:rsidRPr="00A8443B" w:rsidRDefault="00A8443B" w:rsidP="008266BA">
            <w:pPr>
              <w:pStyle w:val="CM2"/>
              <w:snapToGrid w:val="0"/>
              <w:spacing w:line="440" w:lineRule="exact"/>
              <w:ind w:firstLineChars="200" w:firstLine="560"/>
              <w:rPr>
                <w:rFonts w:cs="宋体"/>
                <w:color w:val="000000"/>
                <w:kern w:val="2"/>
                <w:sz w:val="28"/>
                <w:szCs w:val="28"/>
              </w:rPr>
            </w:pPr>
            <w:r w:rsidRPr="00A8443B">
              <w:rPr>
                <w:rFonts w:cs="宋体" w:hint="eastAsia"/>
                <w:color w:val="000000"/>
                <w:kern w:val="2"/>
                <w:sz w:val="28"/>
                <w:szCs w:val="28"/>
              </w:rPr>
              <w:t>（一）</w:t>
            </w:r>
            <w:r w:rsidRPr="00FD6266">
              <w:rPr>
                <w:rFonts w:cs="宋体" w:hint="eastAsia"/>
                <w:b/>
                <w:color w:val="000000"/>
                <w:kern w:val="2"/>
                <w:sz w:val="28"/>
                <w:szCs w:val="28"/>
              </w:rPr>
              <w:t>连续三个月出现逾期未申</w:t>
            </w:r>
            <w:bookmarkStart w:id="0" w:name="_GoBack"/>
            <w:r w:rsidRPr="00600116">
              <w:rPr>
                <w:rFonts w:cs="宋体" w:hint="eastAsia"/>
                <w:b/>
                <w:color w:val="000000"/>
                <w:kern w:val="2"/>
                <w:sz w:val="28"/>
                <w:szCs w:val="28"/>
              </w:rPr>
              <w:t>报情况；</w:t>
            </w:r>
            <w:bookmarkEnd w:id="0"/>
            <w:r w:rsidRPr="00A8443B">
              <w:rPr>
                <w:rFonts w:cs="宋体"/>
                <w:color w:val="000000"/>
                <w:kern w:val="2"/>
                <w:sz w:val="28"/>
                <w:szCs w:val="28"/>
              </w:rPr>
              <w:t xml:space="preserve"> </w:t>
            </w:r>
          </w:p>
          <w:p w:rsidR="00A8443B" w:rsidRPr="00A8443B" w:rsidRDefault="00A8443B" w:rsidP="008266BA">
            <w:pPr>
              <w:pStyle w:val="CM3"/>
              <w:snapToGrid w:val="0"/>
              <w:spacing w:line="440" w:lineRule="exact"/>
              <w:ind w:firstLineChars="200" w:firstLine="560"/>
              <w:rPr>
                <w:rFonts w:cs="宋体"/>
                <w:color w:val="000000"/>
                <w:kern w:val="2"/>
                <w:sz w:val="28"/>
                <w:szCs w:val="28"/>
              </w:rPr>
            </w:pPr>
            <w:r w:rsidRPr="00A8443B">
              <w:rPr>
                <w:rFonts w:cs="宋体" w:hint="eastAsia"/>
                <w:color w:val="000000"/>
                <w:kern w:val="2"/>
                <w:sz w:val="28"/>
                <w:szCs w:val="28"/>
              </w:rPr>
              <w:t>（二）一个月内累计逾期申报金额超过</w:t>
            </w:r>
            <w:r w:rsidR="00F30CC8" w:rsidRPr="00FD6266">
              <w:rPr>
                <w:rFonts w:cs="宋体" w:hint="eastAsia"/>
                <w:b/>
                <w:color w:val="000000"/>
                <w:kern w:val="2"/>
                <w:sz w:val="28"/>
                <w:szCs w:val="28"/>
              </w:rPr>
              <w:t>10</w:t>
            </w:r>
            <w:r w:rsidRPr="00FD6266">
              <w:rPr>
                <w:rFonts w:cs="宋体"/>
                <w:b/>
                <w:color w:val="000000"/>
                <w:kern w:val="2"/>
                <w:sz w:val="28"/>
                <w:szCs w:val="28"/>
              </w:rPr>
              <w:t>00</w:t>
            </w:r>
            <w:r w:rsidRPr="00FD6266">
              <w:rPr>
                <w:rFonts w:cs="宋体" w:hint="eastAsia"/>
                <w:b/>
                <w:color w:val="000000"/>
                <w:kern w:val="2"/>
                <w:sz w:val="28"/>
                <w:szCs w:val="28"/>
              </w:rPr>
              <w:t>万美元；</w:t>
            </w:r>
            <w:r w:rsidRPr="00A8443B">
              <w:rPr>
                <w:rFonts w:cs="宋体"/>
                <w:color w:val="000000"/>
                <w:kern w:val="2"/>
                <w:sz w:val="28"/>
                <w:szCs w:val="28"/>
              </w:rPr>
              <w:t xml:space="preserve"> </w:t>
            </w:r>
          </w:p>
          <w:p w:rsidR="00A8443B" w:rsidRPr="00A8443B" w:rsidRDefault="00A8443B" w:rsidP="008266BA">
            <w:pPr>
              <w:pStyle w:val="CM5"/>
              <w:snapToGrid w:val="0"/>
              <w:spacing w:line="440" w:lineRule="exact"/>
              <w:ind w:firstLineChars="200" w:firstLine="560"/>
              <w:rPr>
                <w:rFonts w:cs="宋体"/>
                <w:color w:val="000000"/>
                <w:kern w:val="2"/>
                <w:sz w:val="28"/>
                <w:szCs w:val="28"/>
              </w:rPr>
            </w:pPr>
            <w:r w:rsidRPr="00A8443B">
              <w:rPr>
                <w:rFonts w:cs="宋体" w:hint="eastAsia"/>
                <w:color w:val="000000"/>
                <w:kern w:val="2"/>
                <w:sz w:val="28"/>
                <w:szCs w:val="28"/>
              </w:rPr>
              <w:t>（三）单笔逾期未申报超过</w:t>
            </w:r>
            <w:r w:rsidRPr="00A8443B">
              <w:rPr>
                <w:rFonts w:cs="宋体"/>
                <w:color w:val="000000"/>
                <w:kern w:val="2"/>
                <w:sz w:val="28"/>
                <w:szCs w:val="28"/>
              </w:rPr>
              <w:t>30</w:t>
            </w:r>
            <w:r w:rsidRPr="00A8443B">
              <w:rPr>
                <w:rFonts w:cs="宋体" w:hint="eastAsia"/>
                <w:color w:val="000000"/>
                <w:kern w:val="2"/>
                <w:sz w:val="28"/>
                <w:szCs w:val="28"/>
              </w:rPr>
              <w:t>天；</w:t>
            </w:r>
            <w:r w:rsidRPr="00A8443B">
              <w:rPr>
                <w:rFonts w:cs="宋体"/>
                <w:color w:val="000000"/>
                <w:kern w:val="2"/>
                <w:sz w:val="28"/>
                <w:szCs w:val="28"/>
              </w:rPr>
              <w:t xml:space="preserve"> </w:t>
            </w:r>
          </w:p>
          <w:p w:rsidR="00664B94" w:rsidRPr="005B5635" w:rsidRDefault="00AC48E5" w:rsidP="008266BA">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 xml:space="preserve">    </w:t>
            </w:r>
            <w:r w:rsidR="00A8443B" w:rsidRPr="00A8443B">
              <w:rPr>
                <w:rFonts w:ascii="仿宋_GB2312" w:eastAsia="仿宋_GB2312" w:cs="宋体" w:hint="eastAsia"/>
                <w:color w:val="000000"/>
                <w:sz w:val="28"/>
                <w:szCs w:val="28"/>
              </w:rPr>
              <w:t>（四）逾期未申报金额或笔数占当月实际收汇金额或笔数的比率达</w:t>
            </w:r>
            <w:r w:rsidR="00A8443B" w:rsidRPr="00A8443B">
              <w:rPr>
                <w:rFonts w:ascii="仿宋_GB2312" w:eastAsia="仿宋_GB2312" w:cs="宋体"/>
                <w:color w:val="000000"/>
                <w:sz w:val="28"/>
                <w:szCs w:val="28"/>
              </w:rPr>
              <w:t>50</w:t>
            </w:r>
            <w:r w:rsidR="00A8443B" w:rsidRPr="00A8443B">
              <w:rPr>
                <w:rFonts w:ascii="仿宋_GB2312" w:eastAsia="仿宋_GB2312" w:cs="宋体" w:hint="eastAsia"/>
                <w:color w:val="000000"/>
                <w:sz w:val="28"/>
                <w:szCs w:val="28"/>
              </w:rPr>
              <w:t>％（含）以上。</w:t>
            </w:r>
          </w:p>
        </w:tc>
        <w:tc>
          <w:tcPr>
            <w:tcW w:w="4285" w:type="dxa"/>
            <w:vAlign w:val="center"/>
          </w:tcPr>
          <w:p w:rsidR="00664B94" w:rsidRPr="00F30CC8" w:rsidRDefault="00F30CC8" w:rsidP="00F30CC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1、删除第（一）点中笔数标准，留下</w:t>
            </w:r>
            <w:proofErr w:type="gramStart"/>
            <w:r>
              <w:rPr>
                <w:rFonts w:ascii="仿宋_GB2312" w:eastAsia="仿宋_GB2312" w:cs="宋体" w:hint="eastAsia"/>
                <w:color w:val="000000"/>
                <w:sz w:val="28"/>
                <w:szCs w:val="28"/>
              </w:rPr>
              <w:t>连续连续</w:t>
            </w:r>
            <w:proofErr w:type="gramEnd"/>
            <w:r>
              <w:rPr>
                <w:rFonts w:ascii="仿宋_GB2312" w:eastAsia="仿宋_GB2312" w:cs="宋体" w:hint="eastAsia"/>
                <w:color w:val="000000"/>
                <w:sz w:val="28"/>
                <w:szCs w:val="28"/>
              </w:rPr>
              <w:t>三个月的时间标准。2、第（二）点中金额标准从100万美元修改为系统核查大额标准1000万美元。</w:t>
            </w:r>
          </w:p>
        </w:tc>
      </w:tr>
      <w:tr w:rsidR="00664B94" w:rsidTr="00F30CC8">
        <w:tc>
          <w:tcPr>
            <w:tcW w:w="1809" w:type="dxa"/>
            <w:vAlign w:val="center"/>
          </w:tcPr>
          <w:p w:rsidR="00664B94" w:rsidRPr="005B5635" w:rsidRDefault="00FD6266"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第四条</w:t>
            </w:r>
          </w:p>
        </w:tc>
        <w:tc>
          <w:tcPr>
            <w:tcW w:w="8080" w:type="dxa"/>
            <w:vAlign w:val="center"/>
          </w:tcPr>
          <w:p w:rsidR="00664B94" w:rsidRPr="005B5635" w:rsidRDefault="00FD6266" w:rsidP="00FD6266">
            <w:pPr>
              <w:pStyle w:val="Default"/>
              <w:snapToGrid w:val="0"/>
              <w:spacing w:line="440" w:lineRule="exact"/>
              <w:rPr>
                <w:rFonts w:cs="宋体"/>
                <w:sz w:val="28"/>
                <w:szCs w:val="28"/>
              </w:rPr>
            </w:pPr>
            <w:r w:rsidRPr="00FD6266">
              <w:rPr>
                <w:rFonts w:cs="宋体" w:hint="eastAsia"/>
                <w:kern w:val="2"/>
                <w:sz w:val="28"/>
                <w:szCs w:val="28"/>
              </w:rPr>
              <w:t>（一）各外汇指定银行应于发现机构申报主体存在第三条所列情形后的</w:t>
            </w:r>
            <w:r w:rsidRPr="0060176C">
              <w:rPr>
                <w:rFonts w:cs="宋体" w:hint="eastAsia"/>
                <w:b/>
                <w:kern w:val="2"/>
                <w:sz w:val="28"/>
                <w:szCs w:val="28"/>
              </w:rPr>
              <w:t>5个工作日内</w:t>
            </w:r>
            <w:r w:rsidRPr="00FD6266">
              <w:rPr>
                <w:rFonts w:cs="宋体" w:hint="eastAsia"/>
                <w:kern w:val="2"/>
                <w:sz w:val="28"/>
                <w:szCs w:val="28"/>
              </w:rPr>
              <w:t>将涉外收入逾期未申报主体名单按规定格式（见附件1）报送外汇局。</w:t>
            </w:r>
          </w:p>
        </w:tc>
        <w:tc>
          <w:tcPr>
            <w:tcW w:w="4285" w:type="dxa"/>
            <w:vAlign w:val="center"/>
          </w:tcPr>
          <w:p w:rsidR="00664B94" w:rsidRPr="005B5635" w:rsidRDefault="00FD6266" w:rsidP="0060176C">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1、</w:t>
            </w:r>
            <w:r w:rsidR="0060176C">
              <w:rPr>
                <w:rFonts w:ascii="仿宋_GB2312" w:eastAsia="仿宋_GB2312" w:cs="宋体" w:hint="eastAsia"/>
                <w:color w:val="000000"/>
                <w:sz w:val="28"/>
                <w:szCs w:val="28"/>
              </w:rPr>
              <w:t>将逾期名单反馈时间从每月10日前修改为5个工作日内。      2、取消空表报送要求。</w:t>
            </w:r>
          </w:p>
        </w:tc>
      </w:tr>
      <w:tr w:rsidR="00664B94" w:rsidTr="00F30CC8">
        <w:tc>
          <w:tcPr>
            <w:tcW w:w="1809" w:type="dxa"/>
            <w:vAlign w:val="center"/>
          </w:tcPr>
          <w:p w:rsidR="00664B94" w:rsidRPr="005B5635" w:rsidRDefault="0060176C"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第四条</w:t>
            </w:r>
          </w:p>
        </w:tc>
        <w:tc>
          <w:tcPr>
            <w:tcW w:w="8080" w:type="dxa"/>
            <w:vAlign w:val="center"/>
          </w:tcPr>
          <w:p w:rsidR="00664B94" w:rsidRPr="0060176C" w:rsidRDefault="0060176C" w:rsidP="0060176C">
            <w:pPr>
              <w:pStyle w:val="Default"/>
              <w:snapToGrid w:val="0"/>
              <w:spacing w:line="440" w:lineRule="exact"/>
              <w:rPr>
                <w:rFonts w:cs="宋体"/>
                <w:kern w:val="2"/>
                <w:sz w:val="28"/>
                <w:szCs w:val="28"/>
              </w:rPr>
            </w:pPr>
            <w:r w:rsidRPr="0060176C">
              <w:rPr>
                <w:rFonts w:cs="宋体" w:hint="eastAsia"/>
                <w:kern w:val="2"/>
                <w:sz w:val="28"/>
                <w:szCs w:val="28"/>
              </w:rPr>
              <w:t>（二）外汇局对银行报送的逾期未申报主体名单审核无误后，以书面形式向全辖各外汇指定银行发布《关于对机构申报主体涉外收入执行“不申报、不解付”特殊处理措施的通知》（见附件</w:t>
            </w:r>
            <w:r w:rsidRPr="0060176C">
              <w:rPr>
                <w:rFonts w:cs="宋体"/>
                <w:kern w:val="2"/>
                <w:sz w:val="28"/>
                <w:szCs w:val="28"/>
              </w:rPr>
              <w:t>2</w:t>
            </w:r>
            <w:r w:rsidRPr="0060176C">
              <w:rPr>
                <w:rFonts w:cs="宋体" w:hint="eastAsia"/>
                <w:kern w:val="2"/>
                <w:sz w:val="28"/>
                <w:szCs w:val="28"/>
              </w:rPr>
              <w:t>）。实施特殊处理措施期限为三个月。</w:t>
            </w:r>
          </w:p>
        </w:tc>
        <w:tc>
          <w:tcPr>
            <w:tcW w:w="4285" w:type="dxa"/>
            <w:vAlign w:val="center"/>
          </w:tcPr>
          <w:p w:rsidR="00664B94" w:rsidRPr="005B5635" w:rsidRDefault="002072BE" w:rsidP="00F30CC8">
            <w:pPr>
              <w:jc w:val="left"/>
              <w:rPr>
                <w:rFonts w:ascii="仿宋_GB2312" w:eastAsia="仿宋_GB2312" w:cs="宋体"/>
                <w:color w:val="000000"/>
                <w:sz w:val="28"/>
                <w:szCs w:val="28"/>
              </w:rPr>
            </w:pPr>
            <w:r>
              <w:rPr>
                <w:rFonts w:ascii="仿宋_GB2312" w:eastAsia="仿宋_GB2312" w:cs="宋体" w:hint="eastAsia"/>
                <w:color w:val="000000"/>
                <w:sz w:val="28"/>
                <w:szCs w:val="28"/>
              </w:rPr>
              <w:t>修改部分表述</w:t>
            </w:r>
          </w:p>
        </w:tc>
      </w:tr>
      <w:tr w:rsidR="00664B94" w:rsidTr="00F30CC8">
        <w:tc>
          <w:tcPr>
            <w:tcW w:w="1809" w:type="dxa"/>
            <w:vAlign w:val="center"/>
          </w:tcPr>
          <w:p w:rsidR="00664B94" w:rsidRPr="005B5635" w:rsidRDefault="002072BE"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第四条</w:t>
            </w:r>
          </w:p>
        </w:tc>
        <w:tc>
          <w:tcPr>
            <w:tcW w:w="8080" w:type="dxa"/>
            <w:vAlign w:val="center"/>
          </w:tcPr>
          <w:p w:rsidR="00664B94" w:rsidRPr="007B4758" w:rsidRDefault="002072BE" w:rsidP="002072BE">
            <w:pPr>
              <w:pStyle w:val="Default"/>
              <w:snapToGrid w:val="0"/>
              <w:spacing w:line="440" w:lineRule="exact"/>
              <w:rPr>
                <w:rFonts w:cs="宋体"/>
                <w:b/>
                <w:sz w:val="28"/>
                <w:szCs w:val="28"/>
              </w:rPr>
            </w:pPr>
            <w:r w:rsidRPr="007B4758">
              <w:rPr>
                <w:rFonts w:cs="宋体" w:hint="eastAsia"/>
                <w:b/>
                <w:kern w:val="2"/>
                <w:sz w:val="28"/>
                <w:szCs w:val="28"/>
              </w:rPr>
              <w:t>（三）经办银行应当督促机构申报主体逐笔补报未按期申报的涉外收入款项，并通知其以纸质申报方式完成其被执行特殊处理措施期间新收款项的申报。</w:t>
            </w:r>
          </w:p>
        </w:tc>
        <w:tc>
          <w:tcPr>
            <w:tcW w:w="4285" w:type="dxa"/>
            <w:vAlign w:val="center"/>
          </w:tcPr>
          <w:p w:rsidR="00664B94" w:rsidRPr="005B5635" w:rsidRDefault="007876BD" w:rsidP="007B475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根据</w:t>
            </w:r>
            <w:r w:rsidR="00E52DE4">
              <w:rPr>
                <w:rFonts w:ascii="仿宋_GB2312" w:eastAsia="仿宋_GB2312" w:cs="宋体" w:hint="eastAsia"/>
                <w:color w:val="000000"/>
                <w:sz w:val="28"/>
                <w:szCs w:val="28"/>
              </w:rPr>
              <w:t>国际收支统计</w:t>
            </w:r>
            <w:r w:rsidR="007B4758">
              <w:rPr>
                <w:rFonts w:ascii="仿宋_GB2312" w:eastAsia="仿宋_GB2312" w:cs="宋体" w:hint="eastAsia"/>
                <w:color w:val="000000"/>
                <w:sz w:val="28"/>
                <w:szCs w:val="28"/>
              </w:rPr>
              <w:t>申报业务实施细则</w:t>
            </w:r>
            <w:r>
              <w:rPr>
                <w:rFonts w:ascii="仿宋_GB2312" w:eastAsia="仿宋_GB2312" w:cs="宋体" w:hint="eastAsia"/>
                <w:color w:val="000000"/>
                <w:sz w:val="28"/>
                <w:szCs w:val="28"/>
              </w:rPr>
              <w:t>内容</w:t>
            </w:r>
            <w:r w:rsidR="007B4758">
              <w:rPr>
                <w:rFonts w:ascii="仿宋_GB2312" w:eastAsia="仿宋_GB2312" w:cs="宋体" w:hint="eastAsia"/>
                <w:color w:val="000000"/>
                <w:sz w:val="28"/>
                <w:szCs w:val="28"/>
              </w:rPr>
              <w:t>，新增银行责任。</w:t>
            </w:r>
          </w:p>
        </w:tc>
      </w:tr>
      <w:tr w:rsidR="007B4758" w:rsidTr="00F30CC8">
        <w:tc>
          <w:tcPr>
            <w:tcW w:w="1809" w:type="dxa"/>
            <w:vAlign w:val="center"/>
          </w:tcPr>
          <w:p w:rsidR="007B4758" w:rsidRDefault="007B4758"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lastRenderedPageBreak/>
              <w:t>第四条</w:t>
            </w:r>
          </w:p>
        </w:tc>
        <w:tc>
          <w:tcPr>
            <w:tcW w:w="8080" w:type="dxa"/>
            <w:vAlign w:val="center"/>
          </w:tcPr>
          <w:p w:rsidR="007B4758" w:rsidRPr="002072BE" w:rsidRDefault="007B4758" w:rsidP="002072BE">
            <w:pPr>
              <w:pStyle w:val="Default"/>
              <w:snapToGrid w:val="0"/>
              <w:spacing w:line="440" w:lineRule="exact"/>
              <w:rPr>
                <w:rFonts w:cs="宋体"/>
                <w:kern w:val="2"/>
                <w:sz w:val="28"/>
                <w:szCs w:val="28"/>
              </w:rPr>
            </w:pPr>
            <w:r w:rsidRPr="007B4758">
              <w:rPr>
                <w:rFonts w:cs="宋体" w:hint="eastAsia"/>
                <w:kern w:val="2"/>
                <w:sz w:val="28"/>
                <w:szCs w:val="28"/>
              </w:rPr>
              <w:t>（四）机构申报主体应通过纸质申报</w:t>
            </w:r>
            <w:r w:rsidRPr="007876BD">
              <w:rPr>
                <w:rFonts w:cs="宋体" w:hint="eastAsia"/>
                <w:b/>
                <w:kern w:val="2"/>
                <w:sz w:val="28"/>
                <w:szCs w:val="28"/>
              </w:rPr>
              <w:t>、电子凭证申报</w:t>
            </w:r>
            <w:r w:rsidRPr="007B4758">
              <w:rPr>
                <w:rFonts w:cs="宋体" w:hint="eastAsia"/>
                <w:kern w:val="2"/>
                <w:sz w:val="28"/>
                <w:szCs w:val="28"/>
              </w:rPr>
              <w:t>或网上申报方式补报此前未按期申报的涉外收入款项，履行补报义务后到外汇局办理补报确认手续。外汇局审核补报数据无误后，向机构申报主体签发《国际收支涉外收入申报补报确认通知书》（见附件3）。</w:t>
            </w:r>
          </w:p>
        </w:tc>
        <w:tc>
          <w:tcPr>
            <w:tcW w:w="4285" w:type="dxa"/>
            <w:vAlign w:val="center"/>
          </w:tcPr>
          <w:p w:rsidR="007B4758" w:rsidRDefault="007876BD" w:rsidP="007B475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增加最新申报方式</w:t>
            </w:r>
          </w:p>
        </w:tc>
      </w:tr>
      <w:tr w:rsidR="007B4758" w:rsidTr="00F30CC8">
        <w:tc>
          <w:tcPr>
            <w:tcW w:w="1809" w:type="dxa"/>
            <w:vAlign w:val="center"/>
          </w:tcPr>
          <w:p w:rsidR="007B4758" w:rsidRDefault="00BD44E2"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附件1</w:t>
            </w:r>
          </w:p>
        </w:tc>
        <w:tc>
          <w:tcPr>
            <w:tcW w:w="8080" w:type="dxa"/>
            <w:vAlign w:val="center"/>
          </w:tcPr>
          <w:p w:rsidR="007B4758" w:rsidRPr="002072BE" w:rsidRDefault="00BD44E2" w:rsidP="002072BE">
            <w:pPr>
              <w:pStyle w:val="Default"/>
              <w:snapToGrid w:val="0"/>
              <w:spacing w:line="440" w:lineRule="exact"/>
              <w:rPr>
                <w:rFonts w:cs="宋体"/>
                <w:kern w:val="2"/>
                <w:sz w:val="28"/>
                <w:szCs w:val="28"/>
              </w:rPr>
            </w:pPr>
            <w:r w:rsidRPr="00BD44E2">
              <w:rPr>
                <w:rFonts w:cs="宋体" w:hint="eastAsia"/>
                <w:kern w:val="2"/>
                <w:sz w:val="28"/>
                <w:szCs w:val="28"/>
              </w:rPr>
              <w:t>机构申报主体</w:t>
            </w:r>
            <w:r w:rsidRPr="00D02403">
              <w:rPr>
                <w:rFonts w:cs="宋体" w:hint="eastAsia"/>
                <w:b/>
                <w:kern w:val="2"/>
                <w:sz w:val="28"/>
                <w:szCs w:val="28"/>
              </w:rPr>
              <w:t>涉外收入</w:t>
            </w:r>
            <w:r w:rsidRPr="00BD44E2">
              <w:rPr>
                <w:rFonts w:cs="宋体" w:hint="eastAsia"/>
                <w:kern w:val="2"/>
                <w:sz w:val="28"/>
                <w:szCs w:val="28"/>
              </w:rPr>
              <w:t>逾期未申报名单</w:t>
            </w:r>
          </w:p>
        </w:tc>
        <w:tc>
          <w:tcPr>
            <w:tcW w:w="4285" w:type="dxa"/>
            <w:vAlign w:val="center"/>
          </w:tcPr>
          <w:p w:rsidR="007B4758" w:rsidRDefault="00BD44E2" w:rsidP="007B475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修改表名</w:t>
            </w:r>
          </w:p>
        </w:tc>
      </w:tr>
      <w:tr w:rsidR="007B4758" w:rsidTr="00F30CC8">
        <w:tc>
          <w:tcPr>
            <w:tcW w:w="1809" w:type="dxa"/>
            <w:vAlign w:val="center"/>
          </w:tcPr>
          <w:p w:rsidR="007B4758" w:rsidRDefault="00BD44E2"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附件2</w:t>
            </w:r>
          </w:p>
        </w:tc>
        <w:tc>
          <w:tcPr>
            <w:tcW w:w="8080" w:type="dxa"/>
            <w:vAlign w:val="center"/>
          </w:tcPr>
          <w:p w:rsidR="007B4758" w:rsidRPr="002072BE" w:rsidRDefault="00BD44E2" w:rsidP="00BD44E2">
            <w:pPr>
              <w:pStyle w:val="Default"/>
              <w:snapToGrid w:val="0"/>
              <w:spacing w:line="440" w:lineRule="exact"/>
              <w:rPr>
                <w:rFonts w:cs="宋体"/>
                <w:kern w:val="2"/>
                <w:sz w:val="28"/>
                <w:szCs w:val="28"/>
              </w:rPr>
            </w:pPr>
            <w:r w:rsidRPr="00BD44E2">
              <w:rPr>
                <w:rFonts w:cs="宋体" w:hint="eastAsia"/>
                <w:kern w:val="2"/>
                <w:sz w:val="28"/>
                <w:szCs w:val="28"/>
              </w:rPr>
              <w:t>关于对机构申报主体</w:t>
            </w:r>
            <w:r w:rsidRPr="006C5D34">
              <w:rPr>
                <w:rFonts w:cs="宋体" w:hint="eastAsia"/>
                <w:b/>
                <w:kern w:val="2"/>
                <w:sz w:val="28"/>
                <w:szCs w:val="28"/>
              </w:rPr>
              <w:t>涉外收入</w:t>
            </w:r>
            <w:r w:rsidRPr="00BD44E2">
              <w:rPr>
                <w:rFonts w:cs="宋体" w:hint="eastAsia"/>
                <w:kern w:val="2"/>
                <w:sz w:val="28"/>
                <w:szCs w:val="28"/>
              </w:rPr>
              <w:t>执行“不申报、不解付”特殊处理措施的通知</w:t>
            </w:r>
          </w:p>
        </w:tc>
        <w:tc>
          <w:tcPr>
            <w:tcW w:w="4285" w:type="dxa"/>
            <w:vAlign w:val="center"/>
          </w:tcPr>
          <w:p w:rsidR="007B4758" w:rsidRDefault="00A04C9B" w:rsidP="007B475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更新文件依据，增加名单附表</w:t>
            </w:r>
          </w:p>
        </w:tc>
      </w:tr>
      <w:tr w:rsidR="007B4758" w:rsidTr="00F30CC8">
        <w:tc>
          <w:tcPr>
            <w:tcW w:w="1809" w:type="dxa"/>
            <w:vAlign w:val="center"/>
          </w:tcPr>
          <w:p w:rsidR="007B4758" w:rsidRDefault="00A04C9B" w:rsidP="005B5635">
            <w:pPr>
              <w:jc w:val="center"/>
              <w:rPr>
                <w:rFonts w:ascii="仿宋_GB2312" w:eastAsia="仿宋_GB2312" w:cs="宋体"/>
                <w:color w:val="000000"/>
                <w:sz w:val="28"/>
                <w:szCs w:val="28"/>
              </w:rPr>
            </w:pPr>
            <w:r>
              <w:rPr>
                <w:rFonts w:ascii="仿宋_GB2312" w:eastAsia="仿宋_GB2312" w:cs="宋体" w:hint="eastAsia"/>
                <w:color w:val="000000"/>
                <w:sz w:val="28"/>
                <w:szCs w:val="28"/>
              </w:rPr>
              <w:t>附件3</w:t>
            </w:r>
          </w:p>
        </w:tc>
        <w:tc>
          <w:tcPr>
            <w:tcW w:w="8080" w:type="dxa"/>
            <w:vAlign w:val="center"/>
          </w:tcPr>
          <w:p w:rsidR="007B4758" w:rsidRPr="002072BE" w:rsidRDefault="000164D2" w:rsidP="002072BE">
            <w:pPr>
              <w:pStyle w:val="Default"/>
              <w:snapToGrid w:val="0"/>
              <w:spacing w:line="440" w:lineRule="exact"/>
              <w:rPr>
                <w:rFonts w:cs="宋体"/>
                <w:kern w:val="2"/>
                <w:sz w:val="28"/>
                <w:szCs w:val="28"/>
              </w:rPr>
            </w:pPr>
            <w:r w:rsidRPr="000164D2">
              <w:rPr>
                <w:rFonts w:cs="宋体" w:hint="eastAsia"/>
                <w:kern w:val="2"/>
                <w:sz w:val="28"/>
                <w:szCs w:val="28"/>
              </w:rPr>
              <w:t>国际收支</w:t>
            </w:r>
            <w:r w:rsidRPr="006C5D34">
              <w:rPr>
                <w:rFonts w:cs="宋体" w:hint="eastAsia"/>
                <w:b/>
                <w:kern w:val="2"/>
                <w:sz w:val="28"/>
                <w:szCs w:val="28"/>
              </w:rPr>
              <w:t>涉外收入</w:t>
            </w:r>
            <w:r w:rsidRPr="000164D2">
              <w:rPr>
                <w:rFonts w:cs="宋体" w:hint="eastAsia"/>
                <w:kern w:val="2"/>
                <w:sz w:val="28"/>
                <w:szCs w:val="28"/>
              </w:rPr>
              <w:t>申报补报确认通知书</w:t>
            </w:r>
          </w:p>
        </w:tc>
        <w:tc>
          <w:tcPr>
            <w:tcW w:w="4285" w:type="dxa"/>
            <w:vAlign w:val="center"/>
          </w:tcPr>
          <w:p w:rsidR="007B4758" w:rsidRDefault="000164D2" w:rsidP="007B4758">
            <w:pPr>
              <w:spacing w:line="440" w:lineRule="exact"/>
              <w:jc w:val="left"/>
              <w:rPr>
                <w:rFonts w:ascii="仿宋_GB2312" w:eastAsia="仿宋_GB2312" w:cs="宋体"/>
                <w:color w:val="000000"/>
                <w:sz w:val="28"/>
                <w:szCs w:val="28"/>
              </w:rPr>
            </w:pPr>
            <w:r>
              <w:rPr>
                <w:rFonts w:ascii="仿宋_GB2312" w:eastAsia="仿宋_GB2312" w:cs="宋体" w:hint="eastAsia"/>
                <w:color w:val="000000"/>
                <w:sz w:val="28"/>
                <w:szCs w:val="28"/>
              </w:rPr>
              <w:t>更新文件依据，修改部分表述</w:t>
            </w:r>
          </w:p>
        </w:tc>
      </w:tr>
    </w:tbl>
    <w:p w:rsidR="005C14EB" w:rsidRDefault="005C14EB" w:rsidP="005C14EB">
      <w:pPr>
        <w:rPr>
          <w:rFonts w:cs="宋体"/>
          <w:b/>
          <w:color w:val="000000"/>
          <w:sz w:val="36"/>
          <w:szCs w:val="36"/>
        </w:rPr>
      </w:pPr>
    </w:p>
    <w:p w:rsidR="005E6E26" w:rsidRDefault="005E6E26" w:rsidP="005E6E26">
      <w:pPr>
        <w:autoSpaceDE w:val="0"/>
        <w:autoSpaceDN w:val="0"/>
        <w:adjustRightInd w:val="0"/>
        <w:jc w:val="left"/>
        <w:rPr>
          <w:rFonts w:ascii="仿宋_GB2312" w:eastAsia="仿宋_GB2312" w:cs="仿宋_GB2312"/>
          <w:kern w:val="0"/>
          <w:sz w:val="20"/>
          <w:szCs w:val="20"/>
        </w:rPr>
      </w:pPr>
    </w:p>
    <w:p w:rsidR="005C14EB" w:rsidRPr="005C14EB" w:rsidRDefault="005C14EB" w:rsidP="005C14EB"/>
    <w:sectPr w:rsidR="005C14EB" w:rsidRPr="005C14EB" w:rsidSect="005E6E2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69" w:rsidRDefault="00574569" w:rsidP="00604C87">
      <w:r>
        <w:separator/>
      </w:r>
    </w:p>
  </w:endnote>
  <w:endnote w:type="continuationSeparator" w:id="0">
    <w:p w:rsidR="00574569" w:rsidRDefault="00574569" w:rsidP="0060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69" w:rsidRDefault="00574569" w:rsidP="00604C87">
      <w:r>
        <w:separator/>
      </w:r>
    </w:p>
  </w:footnote>
  <w:footnote w:type="continuationSeparator" w:id="0">
    <w:p w:rsidR="00574569" w:rsidRDefault="00574569" w:rsidP="00604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EB"/>
    <w:rsid w:val="000164D2"/>
    <w:rsid w:val="000704ED"/>
    <w:rsid w:val="00072403"/>
    <w:rsid w:val="001F6EFD"/>
    <w:rsid w:val="002072BE"/>
    <w:rsid w:val="002A17A4"/>
    <w:rsid w:val="00322DB5"/>
    <w:rsid w:val="004A14E8"/>
    <w:rsid w:val="004F1232"/>
    <w:rsid w:val="005165FD"/>
    <w:rsid w:val="00574569"/>
    <w:rsid w:val="005B5635"/>
    <w:rsid w:val="005C14EB"/>
    <w:rsid w:val="005E6E26"/>
    <w:rsid w:val="00600116"/>
    <w:rsid w:val="0060176C"/>
    <w:rsid w:val="00604C87"/>
    <w:rsid w:val="00664B94"/>
    <w:rsid w:val="006C5D34"/>
    <w:rsid w:val="007876BD"/>
    <w:rsid w:val="007B4758"/>
    <w:rsid w:val="008266BA"/>
    <w:rsid w:val="00A04C9B"/>
    <w:rsid w:val="00A8443B"/>
    <w:rsid w:val="00AC48E5"/>
    <w:rsid w:val="00B33827"/>
    <w:rsid w:val="00B72240"/>
    <w:rsid w:val="00BD44E2"/>
    <w:rsid w:val="00D02403"/>
    <w:rsid w:val="00D12E7A"/>
    <w:rsid w:val="00E52DE4"/>
    <w:rsid w:val="00F26BE5"/>
    <w:rsid w:val="00F30CC8"/>
    <w:rsid w:val="00F4063A"/>
    <w:rsid w:val="00FD6266"/>
    <w:rsid w:val="00FE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E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uiPriority w:val="99"/>
    <w:rsid w:val="005C14EB"/>
    <w:pPr>
      <w:autoSpaceDE w:val="0"/>
      <w:autoSpaceDN w:val="0"/>
      <w:adjustRightInd w:val="0"/>
      <w:spacing w:line="626" w:lineRule="atLeast"/>
      <w:jc w:val="left"/>
    </w:pPr>
    <w:rPr>
      <w:rFonts w:ascii="仿宋_GB2312" w:eastAsia="仿宋_GB2312"/>
      <w:kern w:val="0"/>
      <w:sz w:val="24"/>
      <w:szCs w:val="24"/>
    </w:rPr>
  </w:style>
  <w:style w:type="table" w:styleId="a3">
    <w:name w:val="Table Grid"/>
    <w:basedOn w:val="a1"/>
    <w:uiPriority w:val="59"/>
    <w:rsid w:val="00664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443B"/>
    <w:pPr>
      <w:widowControl w:val="0"/>
      <w:autoSpaceDE w:val="0"/>
      <w:autoSpaceDN w:val="0"/>
      <w:adjustRightInd w:val="0"/>
    </w:pPr>
    <w:rPr>
      <w:rFonts w:ascii="仿宋_GB2312" w:eastAsia="仿宋_GB2312" w:cs="仿宋_GB2312"/>
      <w:color w:val="000000"/>
      <w:kern w:val="0"/>
      <w:sz w:val="24"/>
      <w:szCs w:val="24"/>
    </w:rPr>
  </w:style>
  <w:style w:type="paragraph" w:customStyle="1" w:styleId="CM2">
    <w:name w:val="CM2"/>
    <w:basedOn w:val="Default"/>
    <w:next w:val="Default"/>
    <w:uiPriority w:val="99"/>
    <w:rsid w:val="00A8443B"/>
    <w:pPr>
      <w:spacing w:line="546" w:lineRule="atLeast"/>
    </w:pPr>
    <w:rPr>
      <w:rFonts w:cs="Times New Roman"/>
      <w:color w:val="auto"/>
    </w:rPr>
  </w:style>
  <w:style w:type="paragraph" w:customStyle="1" w:styleId="CM3">
    <w:name w:val="CM3"/>
    <w:basedOn w:val="Default"/>
    <w:next w:val="Default"/>
    <w:uiPriority w:val="99"/>
    <w:rsid w:val="00A8443B"/>
    <w:pPr>
      <w:spacing w:line="546" w:lineRule="atLeast"/>
    </w:pPr>
    <w:rPr>
      <w:rFonts w:cs="Times New Roman"/>
      <w:color w:val="auto"/>
    </w:rPr>
  </w:style>
  <w:style w:type="paragraph" w:customStyle="1" w:styleId="CM5">
    <w:name w:val="CM5"/>
    <w:basedOn w:val="Default"/>
    <w:next w:val="Default"/>
    <w:uiPriority w:val="99"/>
    <w:rsid w:val="00A8443B"/>
    <w:pPr>
      <w:spacing w:line="540" w:lineRule="atLeast"/>
    </w:pPr>
    <w:rPr>
      <w:rFonts w:cs="Times New Roman"/>
      <w:color w:val="auto"/>
    </w:rPr>
  </w:style>
  <w:style w:type="paragraph" w:styleId="a4">
    <w:name w:val="header"/>
    <w:basedOn w:val="a"/>
    <w:link w:val="Char"/>
    <w:uiPriority w:val="99"/>
    <w:unhideWhenUsed/>
    <w:rsid w:val="00604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4C87"/>
    <w:rPr>
      <w:rFonts w:cs="Times New Roman"/>
      <w:sz w:val="18"/>
      <w:szCs w:val="18"/>
    </w:rPr>
  </w:style>
  <w:style w:type="paragraph" w:styleId="a5">
    <w:name w:val="footer"/>
    <w:basedOn w:val="a"/>
    <w:link w:val="Char0"/>
    <w:uiPriority w:val="99"/>
    <w:unhideWhenUsed/>
    <w:rsid w:val="00604C87"/>
    <w:pPr>
      <w:tabs>
        <w:tab w:val="center" w:pos="4153"/>
        <w:tab w:val="right" w:pos="8306"/>
      </w:tabs>
      <w:snapToGrid w:val="0"/>
      <w:jc w:val="left"/>
    </w:pPr>
    <w:rPr>
      <w:sz w:val="18"/>
      <w:szCs w:val="18"/>
    </w:rPr>
  </w:style>
  <w:style w:type="character" w:customStyle="1" w:styleId="Char0">
    <w:name w:val="页脚 Char"/>
    <w:basedOn w:val="a0"/>
    <w:link w:val="a5"/>
    <w:uiPriority w:val="99"/>
    <w:rsid w:val="00604C87"/>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E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uiPriority w:val="99"/>
    <w:rsid w:val="005C14EB"/>
    <w:pPr>
      <w:autoSpaceDE w:val="0"/>
      <w:autoSpaceDN w:val="0"/>
      <w:adjustRightInd w:val="0"/>
      <w:spacing w:line="626" w:lineRule="atLeast"/>
      <w:jc w:val="left"/>
    </w:pPr>
    <w:rPr>
      <w:rFonts w:ascii="仿宋_GB2312" w:eastAsia="仿宋_GB2312"/>
      <w:kern w:val="0"/>
      <w:sz w:val="24"/>
      <w:szCs w:val="24"/>
    </w:rPr>
  </w:style>
  <w:style w:type="table" w:styleId="a3">
    <w:name w:val="Table Grid"/>
    <w:basedOn w:val="a1"/>
    <w:uiPriority w:val="59"/>
    <w:rsid w:val="00664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443B"/>
    <w:pPr>
      <w:widowControl w:val="0"/>
      <w:autoSpaceDE w:val="0"/>
      <w:autoSpaceDN w:val="0"/>
      <w:adjustRightInd w:val="0"/>
    </w:pPr>
    <w:rPr>
      <w:rFonts w:ascii="仿宋_GB2312" w:eastAsia="仿宋_GB2312" w:cs="仿宋_GB2312"/>
      <w:color w:val="000000"/>
      <w:kern w:val="0"/>
      <w:sz w:val="24"/>
      <w:szCs w:val="24"/>
    </w:rPr>
  </w:style>
  <w:style w:type="paragraph" w:customStyle="1" w:styleId="CM2">
    <w:name w:val="CM2"/>
    <w:basedOn w:val="Default"/>
    <w:next w:val="Default"/>
    <w:uiPriority w:val="99"/>
    <w:rsid w:val="00A8443B"/>
    <w:pPr>
      <w:spacing w:line="546" w:lineRule="atLeast"/>
    </w:pPr>
    <w:rPr>
      <w:rFonts w:cs="Times New Roman"/>
      <w:color w:val="auto"/>
    </w:rPr>
  </w:style>
  <w:style w:type="paragraph" w:customStyle="1" w:styleId="CM3">
    <w:name w:val="CM3"/>
    <w:basedOn w:val="Default"/>
    <w:next w:val="Default"/>
    <w:uiPriority w:val="99"/>
    <w:rsid w:val="00A8443B"/>
    <w:pPr>
      <w:spacing w:line="546" w:lineRule="atLeast"/>
    </w:pPr>
    <w:rPr>
      <w:rFonts w:cs="Times New Roman"/>
      <w:color w:val="auto"/>
    </w:rPr>
  </w:style>
  <w:style w:type="paragraph" w:customStyle="1" w:styleId="CM5">
    <w:name w:val="CM5"/>
    <w:basedOn w:val="Default"/>
    <w:next w:val="Default"/>
    <w:uiPriority w:val="99"/>
    <w:rsid w:val="00A8443B"/>
    <w:pPr>
      <w:spacing w:line="540" w:lineRule="atLeast"/>
    </w:pPr>
    <w:rPr>
      <w:rFonts w:cs="Times New Roman"/>
      <w:color w:val="auto"/>
    </w:rPr>
  </w:style>
  <w:style w:type="paragraph" w:styleId="a4">
    <w:name w:val="header"/>
    <w:basedOn w:val="a"/>
    <w:link w:val="Char"/>
    <w:uiPriority w:val="99"/>
    <w:unhideWhenUsed/>
    <w:rsid w:val="00604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4C87"/>
    <w:rPr>
      <w:rFonts w:cs="Times New Roman"/>
      <w:sz w:val="18"/>
      <w:szCs w:val="18"/>
    </w:rPr>
  </w:style>
  <w:style w:type="paragraph" w:styleId="a5">
    <w:name w:val="footer"/>
    <w:basedOn w:val="a"/>
    <w:link w:val="Char0"/>
    <w:uiPriority w:val="99"/>
    <w:unhideWhenUsed/>
    <w:rsid w:val="00604C87"/>
    <w:pPr>
      <w:tabs>
        <w:tab w:val="center" w:pos="4153"/>
        <w:tab w:val="right" w:pos="8306"/>
      </w:tabs>
      <w:snapToGrid w:val="0"/>
      <w:jc w:val="left"/>
    </w:pPr>
    <w:rPr>
      <w:sz w:val="18"/>
      <w:szCs w:val="18"/>
    </w:rPr>
  </w:style>
  <w:style w:type="character" w:customStyle="1" w:styleId="Char0">
    <w:name w:val="页脚 Char"/>
    <w:basedOn w:val="a0"/>
    <w:link w:val="a5"/>
    <w:uiPriority w:val="99"/>
    <w:rsid w:val="00604C8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李雯</dc:creator>
  <cp:keywords/>
  <dc:description/>
  <cp:lastModifiedBy>中国人民银行深圳市中心支行</cp:lastModifiedBy>
  <cp:revision>29</cp:revision>
  <dcterms:created xsi:type="dcterms:W3CDTF">2022-07-08T06:26:00Z</dcterms:created>
  <dcterms:modified xsi:type="dcterms:W3CDTF">2022-08-16T07:21:00Z</dcterms:modified>
</cp:coreProperties>
</file>