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ind w:right="300"/>
        <w:rPr>
          <w:rFonts w:ascii="Times New Roman" w:hAnsi="Times New Roman" w:eastAsia="黑体" w:cs="Times New Roman"/>
          <w:sz w:val="48"/>
          <w:szCs w:val="48"/>
        </w:rPr>
      </w:pPr>
      <w:r>
        <w:rPr>
          <w:rFonts w:hint="eastAsia" w:ascii="Times New Roman" w:hAnsi="Times New Roman" w:eastAsia="黑体" w:cs="Times New Roman"/>
          <w:sz w:val="48"/>
          <w:szCs w:val="48"/>
        </w:rPr>
        <w:t xml:space="preserve">             </w:t>
      </w: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52"/>
          <w:szCs w:val="52"/>
        </w:rPr>
      </w:pP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w:t>
      </w:r>
      <w:r>
        <w:rPr>
          <w:rFonts w:hint="eastAsia" w:ascii="Times New Roman" w:hAnsi="Times New Roman" w:eastAsia="黑体" w:cs="Times New Roman"/>
          <w:sz w:val="52"/>
          <w:szCs w:val="52"/>
        </w:rPr>
        <w:t>金融机构外债结汇核准</w:t>
      </w:r>
      <w:r>
        <w:rPr>
          <w:rFonts w:ascii="Times New Roman" w:hAnsi="Times New Roman" w:eastAsia="黑体" w:cs="Times New Roman"/>
          <w:sz w:val="52"/>
          <w:szCs w:val="52"/>
        </w:rPr>
        <w:t xml:space="preserve">” </w:t>
      </w: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行政审批服务指南</w: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hint="eastAsia" w:ascii="Times New Roman" w:hAnsi="Times New Roman" w:eastAsia="仿宋_GB2312" w:cs="Times New Roman"/>
          <w:sz w:val="30"/>
          <w:szCs w:val="30"/>
          <w:lang w:val="en-US" w:eastAsia="zh-CN"/>
        </w:rPr>
      </w:pPr>
    </w:p>
    <w:p>
      <w:pPr>
        <w:ind w:right="300"/>
        <w:jc w:val="center"/>
        <w:rPr>
          <w:rFonts w:hint="eastAsia" w:ascii="Times New Roman" w:hAnsi="Times New Roman" w:eastAsia="仿宋_GB2312" w:cs="Times New Roman"/>
          <w:sz w:val="30"/>
          <w:szCs w:val="30"/>
          <w:lang w:val="en-US" w:eastAsia="zh-CN"/>
        </w:rPr>
      </w:pPr>
    </w:p>
    <w:p>
      <w:pPr>
        <w:ind w:right="300"/>
        <w:jc w:val="center"/>
        <w:rPr>
          <w:rFonts w:hint="eastAsia" w:ascii="Times New Roman" w:hAnsi="Times New Roman" w:eastAsia="仿宋_GB2312" w:cs="Times New Roman"/>
          <w:sz w:val="30"/>
          <w:szCs w:val="30"/>
          <w:lang w:val="en-US" w:eastAsia="zh-CN"/>
        </w:rPr>
      </w:pPr>
    </w:p>
    <w:p>
      <w:pPr>
        <w:ind w:right="300"/>
        <w:jc w:val="center"/>
        <w:rPr>
          <w:rFonts w:hint="eastAsia" w:ascii="Times New Roman" w:hAnsi="Times New Roman" w:eastAsia="仿宋_GB2312" w:cs="Times New Roman"/>
          <w:sz w:val="30"/>
          <w:szCs w:val="30"/>
          <w:lang w:val="en-US" w:eastAsia="zh-CN"/>
        </w:rPr>
      </w:pPr>
    </w:p>
    <w:p>
      <w:pPr>
        <w:ind w:right="300"/>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发布机构：</w:t>
      </w:r>
      <w:r>
        <w:rPr>
          <w:rFonts w:hint="eastAsia" w:ascii="Times New Roman" w:hAnsi="Times New Roman" w:eastAsia="仿宋_GB2312" w:cs="Times New Roman"/>
          <w:sz w:val="32"/>
          <w:szCs w:val="32"/>
        </w:rPr>
        <w:t>国家外汇管理局陕西省分局</w:t>
      </w: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sectPr>
          <w:footerReference r:id="rId4" w:type="default"/>
          <w:pgSz w:w="11906" w:h="16838"/>
          <w:pgMar w:top="1440" w:right="1800" w:bottom="1440" w:left="1800" w:header="851" w:footer="992" w:gutter="0"/>
          <w:cols w:space="720" w:num="1"/>
          <w:docGrid w:type="lines" w:linePitch="312" w:charSpace="0"/>
        </w:sectPr>
      </w:pPr>
    </w:p>
    <w:p>
      <w:pPr>
        <w:adjustRightInd w:val="0"/>
        <w:snapToGrid w:val="0"/>
        <w:spacing w:line="360" w:lineRule="auto"/>
        <w:jc w:val="left"/>
        <w:rPr>
          <w:rFonts w:ascii="Times New Roman" w:hAnsi="Times New Roman" w:eastAsia="黑体" w:cs="Times New Roman"/>
          <w:sz w:val="30"/>
          <w:szCs w:val="30"/>
        </w:rPr>
      </w:pPr>
      <w:r>
        <w:rPr>
          <w:rFonts w:hint="eastAsia" w:ascii="Times New Roman" w:hAnsi="Times New Roman" w:eastAsia="黑体" w:cs="Times New Roman"/>
          <w:sz w:val="30"/>
          <w:szCs w:val="30"/>
          <w:lang w:val="en-US" w:eastAsia="zh-CN"/>
        </w:rPr>
        <w:t xml:space="preserve">    </w:t>
      </w:r>
      <w:r>
        <w:rPr>
          <w:rFonts w:ascii="Times New Roman" w:hAnsi="Times New Roman" w:eastAsia="黑体" w:cs="Times New Roman"/>
          <w:sz w:val="30"/>
          <w:szCs w:val="30"/>
        </w:rPr>
        <w:t>一、项目信息</w:t>
      </w:r>
    </w:p>
    <w:p>
      <w:pPr>
        <w:adjustRightInd w:val="0"/>
        <w:snapToGrid w:val="0"/>
        <w:spacing w:line="360" w:lineRule="auto"/>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项目名称：资本项目外汇资金结汇核准；</w:t>
      </w:r>
    </w:p>
    <w:p>
      <w:pPr>
        <w:adjustRightInd w:val="0"/>
        <w:snapToGrid w:val="0"/>
        <w:spacing w:line="360" w:lineRule="auto"/>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项目编号：57012；</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审批类别：行政许可；</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审查类型：前审后批。</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二、适用范围</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本指南适用于“资本项目外汇资金结汇核准”的申请和办理。</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三、设定依据</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《中华人民共和国外汇管理条例》（国务院令第532号）第二十一条：“资本项目外汇收入保留或者卖给经营结汇、售汇业务的金融机构，应当经外汇管理机关批准，但国家规定无需批准的除外”。</w:t>
      </w:r>
    </w:p>
    <w:p>
      <w:pPr>
        <w:adjustRightInd w:val="0"/>
        <w:snapToGrid w:val="0"/>
        <w:spacing w:line="360" w:lineRule="auto"/>
        <w:rPr>
          <w:rFonts w:ascii="Times New Roman" w:hAnsi="Times New Roman" w:eastAsia="黑体" w:cs="Times New Roman"/>
          <w:sz w:val="30"/>
          <w:szCs w:val="30"/>
        </w:rPr>
      </w:pPr>
      <w:r>
        <w:rPr>
          <w:rFonts w:ascii="Times New Roman" w:hAnsi="Times New Roman" w:eastAsia="黑体" w:cs="Times New Roman"/>
          <w:sz w:val="30"/>
          <w:szCs w:val="30"/>
        </w:rPr>
        <w:t xml:space="preserve">    四、金融机构外债结汇核准</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（一）办理依据</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1.《中华人民共和国外汇管理条例》（国务院令第532号）；</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2.《外债统计监测暂行规定》（1987年公布）。</w:t>
      </w:r>
    </w:p>
    <w:p>
      <w:pPr>
        <w:widowControl/>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3.《境内机构借用国际商业贷款管理办法》（〔97〕汇政发字06号）。</w:t>
      </w:r>
    </w:p>
    <w:p>
      <w:pPr>
        <w:widowControl/>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4.《境内外资银行外债管理办法》（国家发展和改革委员会 中国人民银行 中国银行业监督管理委员会令2004年第9号）。</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5.《国家外汇管理局关于发布〈外债登记管理办法〉的通知》（汇发〔2013〕19号）。</w:t>
      </w:r>
    </w:p>
    <w:p>
      <w:pPr>
        <w:adjustRightInd w:val="0"/>
        <w:snapToGrid w:val="0"/>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6</w:t>
      </w:r>
      <w:r>
        <w:rPr>
          <w:rFonts w:ascii="Times New Roman" w:hAnsi="Times New Roman" w:eastAsia="仿宋_GB2312" w:cs="Times New Roman"/>
          <w:sz w:val="30"/>
          <w:szCs w:val="30"/>
        </w:rPr>
        <w:t>.《国家外汇管理局关于废止和修改涉及注册资本登记制度改革相关规范性文件的通知》（汇发〔2015〕20号）。</w:t>
      </w:r>
    </w:p>
    <w:p>
      <w:pPr>
        <w:adjustRightInd w:val="0"/>
        <w:snapToGrid w:val="0"/>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7</w:t>
      </w:r>
      <w:r>
        <w:rPr>
          <w:rFonts w:ascii="Times New Roman" w:hAnsi="Times New Roman" w:eastAsia="仿宋_GB2312" w:cs="Times New Roman"/>
          <w:sz w:val="30"/>
          <w:szCs w:val="30"/>
        </w:rPr>
        <w:t>.《中国人民银行关于全口径跨境融资宏观审慎管理有关事宜的通知》（银发〔2017〕9号）。</w:t>
      </w:r>
    </w:p>
    <w:p>
      <w:pPr>
        <w:adjustRightInd w:val="0"/>
        <w:snapToGrid w:val="0"/>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8</w:t>
      </w:r>
      <w:r>
        <w:rPr>
          <w:rFonts w:ascii="Times New Roman" w:hAnsi="Times New Roman" w:eastAsia="仿宋_GB2312" w:cs="Times New Roman"/>
          <w:sz w:val="30"/>
          <w:szCs w:val="30"/>
        </w:rPr>
        <w:t>．其他相关法规。</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（二）受理机构</w:t>
      </w:r>
    </w:p>
    <w:p>
      <w:pPr>
        <w:adjustRightInd w:val="0"/>
        <w:snapToGrid w:val="0"/>
        <w:spacing w:line="360" w:lineRule="auto"/>
        <w:rPr>
          <w:rFonts w:hint="eastAsia" w:ascii="Times New Roman" w:hAnsi="Times New Roman" w:eastAsia="仿宋_GB2312" w:cs="Times New Roman"/>
          <w:sz w:val="30"/>
          <w:szCs w:val="30"/>
          <w:lang w:eastAsia="zh-CN"/>
        </w:rPr>
      </w:pPr>
      <w:r>
        <w:rPr>
          <w:rFonts w:ascii="Times New Roman" w:hAnsi="Times New Roman" w:eastAsia="仿宋_GB2312" w:cs="Times New Roman"/>
          <w:sz w:val="30"/>
          <w:szCs w:val="30"/>
        </w:rPr>
        <w:t xml:space="preserve">    </w:t>
      </w:r>
      <w:r>
        <w:rPr>
          <w:rFonts w:ascii="Times New Roman" w:hAnsi="Times New Roman" w:eastAsia="仿宋_GB2312" w:cs="Times New Roman"/>
          <w:color w:val="auto"/>
          <w:sz w:val="30"/>
          <w:szCs w:val="30"/>
        </w:rPr>
        <w:t>国家外汇管理局</w:t>
      </w:r>
      <w:r>
        <w:rPr>
          <w:rFonts w:hint="eastAsia" w:ascii="Times New Roman" w:hAnsi="Times New Roman" w:eastAsia="仿宋_GB2312" w:cs="Times New Roman"/>
          <w:color w:val="auto"/>
          <w:sz w:val="30"/>
          <w:szCs w:val="30"/>
        </w:rPr>
        <w:t>陕西省分局</w:t>
      </w:r>
      <w:r>
        <w:rPr>
          <w:rFonts w:hint="eastAsia" w:ascii="Times New Roman" w:hAnsi="Times New Roman" w:eastAsia="仿宋_GB2312" w:cs="Times New Roman"/>
          <w:color w:val="auto"/>
          <w:sz w:val="30"/>
          <w:szCs w:val="30"/>
          <w:lang w:eastAsia="zh-CN"/>
        </w:rPr>
        <w:t>。</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（三）决定机构</w:t>
      </w:r>
    </w:p>
    <w:p>
      <w:pPr>
        <w:adjustRightInd w:val="0"/>
        <w:snapToGrid w:val="0"/>
        <w:spacing w:line="360" w:lineRule="auto"/>
        <w:rPr>
          <w:rFonts w:ascii="Times New Roman" w:hAnsi="Times New Roman" w:eastAsia="仿宋_GB2312" w:cs="Times New Roman"/>
          <w:sz w:val="30"/>
          <w:szCs w:val="30"/>
        </w:rPr>
      </w:pPr>
      <w:r>
        <w:rPr>
          <w:rFonts w:ascii="Times New Roman" w:hAnsi="Times New Roman" w:eastAsia="仿宋_GB2312" w:cs="Times New Roman"/>
          <w:sz w:val="30"/>
          <w:szCs w:val="30"/>
        </w:rPr>
        <w:t xml:space="preserve">    国家外汇管理局或</w:t>
      </w:r>
      <w:r>
        <w:rPr>
          <w:rFonts w:hint="eastAsia" w:ascii="Times New Roman" w:hAnsi="Times New Roman" w:eastAsia="仿宋_GB2312" w:cs="Times New Roman"/>
          <w:sz w:val="30"/>
          <w:szCs w:val="30"/>
          <w:lang w:eastAsia="zh-CN"/>
        </w:rPr>
        <w:t>国家外汇管理陕西省分局</w:t>
      </w:r>
      <w:r>
        <w:rPr>
          <w:rFonts w:ascii="Times New Roman" w:hAnsi="Times New Roman" w:eastAsia="仿宋_GB2312" w:cs="Times New Roman"/>
          <w:sz w:val="30"/>
          <w:szCs w:val="30"/>
        </w:rPr>
        <w:t>。</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（四）审批数量</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无数量限制。</w:t>
      </w:r>
    </w:p>
    <w:p>
      <w:pPr>
        <w:adjustRightInd w:val="0"/>
        <w:snapToGrid w:val="0"/>
        <w:spacing w:line="360" w:lineRule="auto"/>
        <w:ind w:firstLine="450" w:firstLineChars="150"/>
        <w:rPr>
          <w:rFonts w:ascii="Times New Roman" w:hAnsi="Times New Roman" w:eastAsia="黑体" w:cs="Times New Roman"/>
          <w:sz w:val="30"/>
          <w:szCs w:val="30"/>
        </w:rPr>
      </w:pPr>
      <w:r>
        <w:rPr>
          <w:rFonts w:ascii="Times New Roman" w:hAnsi="Times New Roman" w:eastAsia="黑体" w:cs="Times New Roman"/>
          <w:sz w:val="30"/>
          <w:szCs w:val="30"/>
        </w:rPr>
        <w:t>（五）办事条件</w:t>
      </w:r>
    </w:p>
    <w:p>
      <w:pPr>
        <w:adjustRightInd w:val="0"/>
        <w:snapToGrid w:val="0"/>
        <w:spacing w:line="360" w:lineRule="auto"/>
        <w:ind w:firstLine="450" w:firstLineChars="150"/>
        <w:rPr>
          <w:rFonts w:ascii="Times New Roman" w:hAnsi="Times New Roman" w:eastAsia="仿宋_GB2312" w:cs="Times New Roman"/>
          <w:sz w:val="30"/>
          <w:szCs w:val="30"/>
        </w:rPr>
      </w:pPr>
      <w:r>
        <w:rPr>
          <w:rFonts w:ascii="Times New Roman" w:hAnsi="Times New Roman" w:eastAsia="仿宋_GB2312" w:cs="Times New Roman"/>
          <w:sz w:val="30"/>
          <w:szCs w:val="30"/>
        </w:rPr>
        <w:t>1．金融机构融入资金可用于补充资本金，服务实体经济发展，并符合国家产业宏观调控方向，经国家外汇管理局批准，金融机构融入外汇资金可结汇使用。</w:t>
      </w:r>
    </w:p>
    <w:p>
      <w:pPr>
        <w:adjustRightInd w:val="0"/>
        <w:snapToGrid w:val="0"/>
        <w:spacing w:line="360" w:lineRule="auto"/>
        <w:ind w:firstLine="450" w:firstLineChars="150"/>
        <w:rPr>
          <w:rFonts w:ascii="Times New Roman" w:hAnsi="Times New Roman" w:eastAsia="仿宋_GB2312" w:cs="Times New Roman"/>
          <w:sz w:val="30"/>
          <w:szCs w:val="30"/>
        </w:rPr>
      </w:pPr>
      <w:r>
        <w:rPr>
          <w:rFonts w:ascii="Times New Roman" w:hAnsi="Times New Roman" w:eastAsia="仿宋_GB2312" w:cs="Times New Roman"/>
          <w:sz w:val="30"/>
          <w:szCs w:val="30"/>
        </w:rPr>
        <w:t>2．禁止性要求：如符合上述条件，不存在不予许可的情况。</w:t>
      </w:r>
    </w:p>
    <w:p>
      <w:pPr>
        <w:adjustRightInd w:val="0"/>
        <w:snapToGrid w:val="0"/>
        <w:spacing w:line="360" w:lineRule="auto"/>
        <w:ind w:firstLine="450" w:firstLineChars="150"/>
        <w:rPr>
          <w:rFonts w:ascii="Times New Roman" w:hAnsi="Times New Roman" w:eastAsia="黑体" w:cs="Times New Roman"/>
          <w:sz w:val="30"/>
          <w:szCs w:val="30"/>
        </w:rPr>
      </w:pPr>
      <w:r>
        <w:rPr>
          <w:rFonts w:ascii="Times New Roman" w:hAnsi="Times New Roman" w:eastAsia="黑体" w:cs="Times New Roman"/>
          <w:sz w:val="30"/>
          <w:szCs w:val="30"/>
        </w:rPr>
        <w:t>（六）</w:t>
      </w:r>
      <w:r>
        <w:rPr>
          <w:rFonts w:hint="eastAsia" w:ascii="Times New Roman" w:hAnsi="Times New Roman" w:eastAsia="黑体" w:cs="Times New Roman"/>
          <w:sz w:val="30"/>
          <w:szCs w:val="30"/>
        </w:rPr>
        <w:t>申请材料</w:t>
      </w:r>
    </w:p>
    <w:tbl>
      <w:tblPr>
        <w:tblStyle w:val="17"/>
        <w:tblW w:w="8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3"/>
        <w:gridCol w:w="2410"/>
        <w:gridCol w:w="2127"/>
        <w:gridCol w:w="567"/>
        <w:gridCol w:w="992"/>
        <w:gridCol w:w="567"/>
        <w:gridCol w:w="13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3" w:type="dxa"/>
            <w:vAlign w:val="center"/>
          </w:tcPr>
          <w:p>
            <w:pPr>
              <w:ind w:right="300"/>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2410" w:type="dxa"/>
            <w:vAlign w:val="center"/>
          </w:tcPr>
          <w:p>
            <w:pPr>
              <w:ind w:right="300"/>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2127" w:type="dxa"/>
            <w:vAlign w:val="center"/>
          </w:tcPr>
          <w:p>
            <w:pPr>
              <w:ind w:right="300"/>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567" w:type="dxa"/>
            <w:vAlign w:val="center"/>
          </w:tcPr>
          <w:p>
            <w:pPr>
              <w:ind w:right="300"/>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992" w:type="dxa"/>
            <w:vAlign w:val="center"/>
          </w:tcPr>
          <w:p>
            <w:pPr>
              <w:ind w:right="300"/>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567" w:type="dxa"/>
            <w:vAlign w:val="center"/>
          </w:tcPr>
          <w:p>
            <w:pPr>
              <w:ind w:right="300"/>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326" w:type="dxa"/>
            <w:vAlign w:val="center"/>
          </w:tcPr>
          <w:p>
            <w:pPr>
              <w:ind w:right="300"/>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3" w:hRule="atLeast"/>
        </w:trPr>
        <w:tc>
          <w:tcPr>
            <w:tcW w:w="533" w:type="dxa"/>
            <w:vAlign w:val="center"/>
          </w:tcPr>
          <w:p>
            <w:pPr>
              <w:ind w:right="300"/>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2410" w:type="dxa"/>
            <w:vAlign w:val="center"/>
          </w:tcPr>
          <w:p>
            <w:pP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书面申请</w:t>
            </w:r>
          </w:p>
        </w:tc>
        <w:tc>
          <w:tcPr>
            <w:tcW w:w="2127"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加盖公章的原件</w:t>
            </w:r>
          </w:p>
        </w:tc>
        <w:tc>
          <w:tcPr>
            <w:tcW w:w="567"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992"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567" w:type="dxa"/>
            <w:vAlign w:val="center"/>
          </w:tcPr>
          <w:p>
            <w:pPr>
              <w:rPr>
                <w:rFonts w:ascii="Times New Roman" w:hAnsi="Times New Roman" w:eastAsia="仿宋_GB2312" w:cs="Times New Roman"/>
                <w:sz w:val="24"/>
                <w:szCs w:val="24"/>
              </w:rPr>
            </w:pPr>
          </w:p>
        </w:tc>
        <w:tc>
          <w:tcPr>
            <w:tcW w:w="1326" w:type="dxa"/>
            <w:vAlign w:val="center"/>
          </w:tcPr>
          <w:p>
            <w:pP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8" w:hRule="atLeast"/>
        </w:trPr>
        <w:tc>
          <w:tcPr>
            <w:tcW w:w="533" w:type="dxa"/>
            <w:vAlign w:val="center"/>
          </w:tcPr>
          <w:p>
            <w:pPr>
              <w:ind w:right="300"/>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2410" w:type="dxa"/>
            <w:vAlign w:val="center"/>
          </w:tcPr>
          <w:p>
            <w:pPr>
              <w:rPr>
                <w:rFonts w:ascii="Times New Roman" w:hAnsi="Times New Roman" w:eastAsia="仿宋_GB2312" w:cs="Times New Roman"/>
                <w:sz w:val="24"/>
                <w:szCs w:val="24"/>
              </w:rPr>
            </w:pPr>
            <w:r>
              <w:rPr>
                <w:rFonts w:hint="eastAsia" w:ascii="Times New Roman" w:hAnsi="Times New Roman" w:eastAsia="仿宋_GB2312" w:cs="Times New Roman"/>
                <w:color w:val="000000"/>
                <w:sz w:val="24"/>
                <w:szCs w:val="24"/>
              </w:rPr>
              <w:t>资金需结汇使用相关真实性证明</w:t>
            </w:r>
            <w:r>
              <w:rPr>
                <w:rFonts w:ascii="Times New Roman" w:hAnsi="Times New Roman" w:eastAsia="仿宋_GB2312" w:cs="Times New Roman"/>
                <w:color w:val="000000"/>
                <w:sz w:val="24"/>
                <w:szCs w:val="24"/>
              </w:rPr>
              <w:t>材料</w:t>
            </w:r>
          </w:p>
        </w:tc>
        <w:tc>
          <w:tcPr>
            <w:tcW w:w="2127"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567"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992"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567" w:type="dxa"/>
            <w:vAlign w:val="center"/>
          </w:tcPr>
          <w:p>
            <w:pPr>
              <w:rPr>
                <w:rFonts w:ascii="Times New Roman" w:hAnsi="Times New Roman" w:eastAsia="仿宋_GB2312" w:cs="Times New Roman"/>
                <w:sz w:val="24"/>
                <w:szCs w:val="24"/>
              </w:rPr>
            </w:pPr>
          </w:p>
        </w:tc>
        <w:tc>
          <w:tcPr>
            <w:tcW w:w="1326"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验原件，留存加盖公章的复印件</w:t>
            </w:r>
          </w:p>
        </w:tc>
      </w:tr>
    </w:tbl>
    <w:p>
      <w:pPr>
        <w:adjustRightInd w:val="0"/>
        <w:snapToGrid w:val="0"/>
        <w:spacing w:line="360" w:lineRule="auto"/>
        <w:ind w:firstLine="450" w:firstLineChars="150"/>
        <w:rPr>
          <w:rFonts w:ascii="Times New Roman" w:hAnsi="Times New Roman" w:eastAsia="黑体" w:cs="Times New Roman"/>
          <w:sz w:val="30"/>
          <w:szCs w:val="30"/>
        </w:rPr>
      </w:pPr>
    </w:p>
    <w:p>
      <w:pPr>
        <w:adjustRightInd w:val="0"/>
        <w:snapToGrid w:val="0"/>
        <w:spacing w:line="360" w:lineRule="auto"/>
        <w:ind w:firstLine="450" w:firstLineChars="150"/>
        <w:rPr>
          <w:rFonts w:ascii="Times New Roman" w:hAnsi="Times New Roman" w:eastAsia="黑体" w:cs="Times New Roman"/>
          <w:sz w:val="30"/>
          <w:szCs w:val="30"/>
        </w:rPr>
      </w:pPr>
      <w:r>
        <w:rPr>
          <w:rFonts w:ascii="Times New Roman" w:hAnsi="Times New Roman" w:eastAsia="黑体" w:cs="Times New Roman"/>
          <w:sz w:val="30"/>
          <w:szCs w:val="30"/>
        </w:rPr>
        <w:t>（七）申请接受</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申请人可通过所在地外汇局业务窗口提交材料</w:t>
      </w:r>
      <w:r>
        <w:rPr>
          <w:rFonts w:hint="eastAsia" w:ascii="Times New Roman" w:hAnsi="Times New Roman" w:eastAsia="仿宋_GB2312" w:cs="Times New Roman"/>
          <w:sz w:val="30"/>
          <w:szCs w:val="30"/>
          <w:lang w:eastAsia="zh-CN"/>
        </w:rPr>
        <w:t>。</w:t>
      </w:r>
    </w:p>
    <w:p>
      <w:pPr>
        <w:adjustRightInd w:val="0"/>
        <w:snapToGrid w:val="0"/>
        <w:spacing w:line="360" w:lineRule="auto"/>
        <w:ind w:firstLine="450" w:firstLineChars="150"/>
        <w:rPr>
          <w:rFonts w:ascii="Times New Roman" w:hAnsi="Times New Roman" w:eastAsia="黑体" w:cs="Times New Roman"/>
          <w:sz w:val="30"/>
          <w:szCs w:val="30"/>
        </w:rPr>
      </w:pPr>
      <w:r>
        <w:rPr>
          <w:rFonts w:ascii="Times New Roman" w:hAnsi="Times New Roman" w:eastAsia="黑体" w:cs="Times New Roman"/>
          <w:sz w:val="30"/>
          <w:szCs w:val="30"/>
        </w:rPr>
        <w:t>（八）基本办理流程</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1.申请人提交申请；</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2.决定是否予以受理；</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3.不予受理的，出具不予受理通知书；</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4.材料不全或不符合法定形式的，一次性告知补正材料，并出具《行政审批补正材料通知书》；根据申请材料及补正情况，予以受理的，出具受理通知书，按程序进行审核；</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5.不予许可的，出具不予许可通知书；许可的，向申请人出具相关业务办理凭证（包括业务登记凭证、核准文件、备案确认等）。</w:t>
      </w:r>
    </w:p>
    <w:p>
      <w:pPr>
        <w:adjustRightInd w:val="0"/>
        <w:snapToGrid w:val="0"/>
        <w:spacing w:line="360" w:lineRule="auto"/>
        <w:ind w:firstLine="450" w:firstLineChars="150"/>
        <w:rPr>
          <w:rFonts w:ascii="Times New Roman" w:hAnsi="Times New Roman" w:eastAsia="黑体" w:cs="Times New Roman"/>
          <w:sz w:val="30"/>
          <w:szCs w:val="30"/>
        </w:rPr>
      </w:pPr>
      <w:r>
        <w:rPr>
          <w:rFonts w:ascii="Times New Roman" w:hAnsi="Times New Roman" w:eastAsia="黑体" w:cs="Times New Roman"/>
          <w:sz w:val="30"/>
          <w:szCs w:val="30"/>
        </w:rPr>
        <w:t>（九）办理方式</w:t>
      </w:r>
    </w:p>
    <w:p>
      <w:pPr>
        <w:adjustRightInd w:val="0"/>
        <w:snapToGrid w:val="0"/>
        <w:spacing w:line="360" w:lineRule="auto"/>
        <w:rPr>
          <w:rFonts w:ascii="Times New Roman" w:hAnsi="Times New Roman" w:eastAsia="仿宋_GB2312" w:cs="Times New Roman"/>
          <w:sz w:val="30"/>
          <w:szCs w:val="30"/>
        </w:rPr>
      </w:pPr>
      <w:r>
        <w:rPr>
          <w:rFonts w:ascii="Times New Roman" w:hAnsi="Times New Roman" w:eastAsia="仿宋_GB2312" w:cs="Times New Roman"/>
          <w:sz w:val="30"/>
          <w:szCs w:val="30"/>
        </w:rPr>
        <w:t xml:space="preserve">    一般程序：申请、告知补正、受理、审核、办理登记或不予许可、出具相关业务办理凭证。</w:t>
      </w:r>
    </w:p>
    <w:p>
      <w:pPr>
        <w:adjustRightInd w:val="0"/>
        <w:snapToGrid w:val="0"/>
        <w:spacing w:line="360" w:lineRule="auto"/>
        <w:ind w:firstLine="450" w:firstLineChars="150"/>
        <w:rPr>
          <w:rFonts w:ascii="Times New Roman" w:hAnsi="Times New Roman" w:eastAsia="黑体" w:cs="Times New Roman"/>
          <w:sz w:val="30"/>
          <w:szCs w:val="30"/>
        </w:rPr>
      </w:pPr>
      <w:r>
        <w:rPr>
          <w:rFonts w:ascii="Times New Roman" w:hAnsi="Times New Roman" w:eastAsia="黑体" w:cs="Times New Roman"/>
          <w:sz w:val="30"/>
          <w:szCs w:val="30"/>
        </w:rPr>
        <w:t>（十）审批时限</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申请人提交材料齐备之日起20个工作日内。</w:t>
      </w:r>
    </w:p>
    <w:p>
      <w:pPr>
        <w:adjustRightInd w:val="0"/>
        <w:snapToGrid w:val="0"/>
        <w:spacing w:line="360" w:lineRule="auto"/>
        <w:ind w:firstLine="450" w:firstLineChars="150"/>
        <w:rPr>
          <w:rFonts w:ascii="Times New Roman" w:hAnsi="Times New Roman" w:eastAsia="黑体" w:cs="Times New Roman"/>
          <w:sz w:val="30"/>
          <w:szCs w:val="30"/>
        </w:rPr>
      </w:pPr>
      <w:r>
        <w:rPr>
          <w:rFonts w:ascii="Times New Roman" w:hAnsi="Times New Roman" w:eastAsia="黑体" w:cs="Times New Roman"/>
          <w:sz w:val="30"/>
          <w:szCs w:val="30"/>
        </w:rPr>
        <w:t>（十一）审批收费依据及标准</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不收费。</w:t>
      </w:r>
    </w:p>
    <w:p>
      <w:pPr>
        <w:adjustRightInd w:val="0"/>
        <w:snapToGrid w:val="0"/>
        <w:spacing w:line="360" w:lineRule="auto"/>
        <w:ind w:firstLine="450" w:firstLineChars="150"/>
        <w:rPr>
          <w:rFonts w:ascii="Times New Roman" w:hAnsi="Times New Roman" w:eastAsia="黑体" w:cs="Times New Roman"/>
          <w:sz w:val="30"/>
          <w:szCs w:val="30"/>
        </w:rPr>
      </w:pPr>
      <w:r>
        <w:rPr>
          <w:rFonts w:ascii="Times New Roman" w:hAnsi="Times New Roman" w:eastAsia="黑体" w:cs="Times New Roman"/>
          <w:sz w:val="30"/>
          <w:szCs w:val="30"/>
        </w:rPr>
        <w:t>（十二）审批结果</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出具相关业务办理凭证。</w:t>
      </w:r>
    </w:p>
    <w:p>
      <w:pPr>
        <w:adjustRightInd w:val="0"/>
        <w:snapToGrid w:val="0"/>
        <w:spacing w:line="360" w:lineRule="auto"/>
        <w:ind w:firstLine="450" w:firstLineChars="150"/>
        <w:rPr>
          <w:rFonts w:ascii="Times New Roman" w:hAnsi="Times New Roman" w:eastAsia="黑体" w:cs="Times New Roman"/>
          <w:sz w:val="30"/>
          <w:szCs w:val="30"/>
        </w:rPr>
      </w:pPr>
      <w:r>
        <w:rPr>
          <w:rFonts w:ascii="Times New Roman" w:hAnsi="Times New Roman" w:eastAsia="黑体" w:cs="Times New Roman"/>
          <w:sz w:val="30"/>
          <w:szCs w:val="30"/>
        </w:rPr>
        <w:t>（十三）结果送达</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通过现场告知或电话等方式通知申请人，并通过现场领取或通过邮寄等方式将结果送达。</w:t>
      </w:r>
    </w:p>
    <w:p>
      <w:pPr>
        <w:adjustRightInd w:val="0"/>
        <w:snapToGrid w:val="0"/>
        <w:spacing w:line="360" w:lineRule="auto"/>
        <w:ind w:firstLine="450" w:firstLineChars="150"/>
        <w:rPr>
          <w:rFonts w:ascii="Times New Roman" w:hAnsi="Times New Roman" w:eastAsia="黑体" w:cs="Times New Roman"/>
          <w:sz w:val="30"/>
          <w:szCs w:val="30"/>
        </w:rPr>
      </w:pPr>
      <w:r>
        <w:rPr>
          <w:rFonts w:ascii="Times New Roman" w:hAnsi="Times New Roman" w:eastAsia="黑体" w:cs="Times New Roman"/>
          <w:sz w:val="30"/>
          <w:szCs w:val="30"/>
        </w:rPr>
        <w:t>（十四）申请人权利和义务</w:t>
      </w:r>
    </w:p>
    <w:p>
      <w:pPr>
        <w:adjustRightInd w:val="0"/>
        <w:snapToGrid w:val="0"/>
        <w:spacing w:line="360" w:lineRule="auto"/>
        <w:ind w:firstLine="600"/>
        <w:rPr>
          <w:rFonts w:ascii="Times New Roman" w:hAnsi="Times New Roman" w:eastAsia="仿宋_GB2312" w:cs="Times New Roman"/>
          <w:sz w:val="30"/>
        </w:rPr>
      </w:pPr>
      <w:r>
        <w:rPr>
          <w:rFonts w:ascii="Times New Roman" w:hAnsi="Times New Roman" w:eastAsia="仿宋_GB2312" w:cs="Times New Roman"/>
          <w:sz w:val="30"/>
        </w:rPr>
        <w:t>申请人有权依法提出行政审批申请，依法进行投诉、举报、复议、诉讼等。申请人有义务保证申请材料完整、真实、准确，获批后合法合规办理相关业务，重要信息发生变更按规定及时报备，全面、及时、准确报送相关数据信息等。</w:t>
      </w:r>
    </w:p>
    <w:p>
      <w:pPr>
        <w:adjustRightInd w:val="0"/>
        <w:snapToGrid w:val="0"/>
        <w:spacing w:line="360" w:lineRule="auto"/>
        <w:ind w:firstLine="601"/>
        <w:rPr>
          <w:rFonts w:ascii="Times New Roman" w:hAnsi="Times New Roman" w:eastAsia="仿宋_GB2312" w:cs="Times New Roman"/>
          <w:sz w:val="30"/>
          <w:szCs w:val="30"/>
        </w:rPr>
      </w:pPr>
      <w:r>
        <w:rPr>
          <w:rFonts w:ascii="Times New Roman" w:hAnsi="Times New Roman" w:eastAsia="黑体" w:cs="Times New Roman"/>
          <w:sz w:val="30"/>
          <w:szCs w:val="30"/>
        </w:rPr>
        <w:t>（十五）咨询途径、监督和投诉、公开查询等由所在地分局办理</w:t>
      </w:r>
    </w:p>
    <w:p>
      <w:pPr>
        <w:adjustRightInd w:val="0"/>
        <w:snapToGrid w:val="0"/>
        <w:spacing w:line="360" w:lineRule="auto"/>
        <w:ind w:firstLine="600"/>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向国家外汇管理局</w:t>
      </w:r>
      <w:r>
        <w:rPr>
          <w:rFonts w:hint="eastAsia" w:ascii="Times New Roman" w:hAnsi="Times New Roman" w:eastAsia="仿宋_GB2312" w:cs="Times New Roman"/>
          <w:color w:val="auto"/>
          <w:sz w:val="30"/>
          <w:szCs w:val="30"/>
        </w:rPr>
        <w:t>陕西省分局</w:t>
      </w:r>
      <w:r>
        <w:rPr>
          <w:rFonts w:ascii="Times New Roman" w:hAnsi="Times New Roman" w:eastAsia="仿宋_GB2312" w:cs="Times New Roman"/>
          <w:color w:val="auto"/>
          <w:sz w:val="30"/>
          <w:szCs w:val="30"/>
        </w:rPr>
        <w:t>咨询、</w:t>
      </w:r>
      <w:r>
        <w:rPr>
          <w:rFonts w:hint="eastAsia" w:ascii="Times New Roman" w:hAnsi="Times New Roman" w:eastAsia="仿宋_GB2312" w:cs="Times New Roman"/>
          <w:color w:val="auto"/>
          <w:sz w:val="30"/>
          <w:szCs w:val="30"/>
        </w:rPr>
        <w:t>进度查询、</w:t>
      </w:r>
      <w:r>
        <w:rPr>
          <w:rFonts w:ascii="Times New Roman" w:hAnsi="Times New Roman" w:eastAsia="仿宋_GB2312" w:cs="Times New Roman"/>
          <w:color w:val="auto"/>
          <w:sz w:val="30"/>
          <w:szCs w:val="30"/>
        </w:rPr>
        <w:t>监督</w:t>
      </w:r>
      <w:r>
        <w:rPr>
          <w:rFonts w:hint="eastAsia" w:ascii="Times New Roman" w:hAnsi="Times New Roman" w:eastAsia="仿宋_GB2312" w:cs="Times New Roman"/>
          <w:color w:val="auto"/>
          <w:sz w:val="30"/>
          <w:szCs w:val="30"/>
        </w:rPr>
        <w:t>和</w:t>
      </w:r>
      <w:r>
        <w:rPr>
          <w:rFonts w:ascii="Times New Roman" w:hAnsi="Times New Roman" w:eastAsia="仿宋_GB2312" w:cs="Times New Roman"/>
          <w:color w:val="auto"/>
          <w:sz w:val="30"/>
          <w:szCs w:val="30"/>
        </w:rPr>
        <w:t>投诉等可通过</w:t>
      </w:r>
      <w:r>
        <w:rPr>
          <w:rFonts w:hint="eastAsia" w:ascii="Times New Roman" w:hAnsi="Times New Roman" w:eastAsia="仿宋_GB2312" w:cs="Times New Roman"/>
          <w:color w:val="auto"/>
          <w:sz w:val="30"/>
          <w:szCs w:val="30"/>
        </w:rPr>
        <w:t>电话、</w:t>
      </w:r>
      <w:r>
        <w:rPr>
          <w:rFonts w:ascii="Times New Roman" w:hAnsi="Times New Roman" w:eastAsia="仿宋_GB2312" w:cs="Times New Roman"/>
          <w:color w:val="auto"/>
          <w:sz w:val="30"/>
          <w:szCs w:val="30"/>
        </w:rPr>
        <w:t>国家外汇管理局</w:t>
      </w:r>
      <w:r>
        <w:rPr>
          <w:rFonts w:hint="eastAsia" w:ascii="Times New Roman" w:hAnsi="Times New Roman" w:eastAsia="仿宋_GB2312" w:cs="Times New Roman"/>
          <w:color w:val="auto"/>
          <w:sz w:val="30"/>
          <w:szCs w:val="30"/>
        </w:rPr>
        <w:t>陕西省分局</w:t>
      </w:r>
      <w:r>
        <w:rPr>
          <w:rFonts w:ascii="Times New Roman" w:hAnsi="Times New Roman" w:eastAsia="仿宋_GB2312" w:cs="Times New Roman"/>
          <w:color w:val="auto"/>
          <w:sz w:val="30"/>
          <w:szCs w:val="30"/>
        </w:rPr>
        <w:t>官方互联网站</w:t>
      </w:r>
      <w:r>
        <w:rPr>
          <w:rFonts w:hint="eastAsia" w:ascii="Times New Roman" w:hAnsi="Times New Roman" w:eastAsia="仿宋_GB2312" w:cs="Times New Roman"/>
          <w:color w:val="auto"/>
          <w:sz w:val="30"/>
          <w:szCs w:val="30"/>
        </w:rPr>
        <w:t>咨询反馈</w:t>
      </w:r>
      <w:r>
        <w:rPr>
          <w:rFonts w:ascii="Times New Roman" w:hAnsi="Times New Roman" w:eastAsia="仿宋_GB2312" w:cs="Times New Roman"/>
          <w:color w:val="auto"/>
          <w:sz w:val="30"/>
          <w:szCs w:val="30"/>
        </w:rPr>
        <w:t>栏目进行。</w:t>
      </w:r>
    </w:p>
    <w:p>
      <w:pPr>
        <w:adjustRightInd w:val="0"/>
        <w:snapToGrid w:val="0"/>
        <w:spacing w:line="360" w:lineRule="auto"/>
        <w:ind w:firstLine="600"/>
        <w:rPr>
          <w:rFonts w:hint="default" w:ascii="Times New Roman" w:hAnsi="Times New Roman" w:eastAsia="仿宋_GB2312" w:cs="Times New Roman"/>
          <w:color w:val="auto"/>
          <w:sz w:val="30"/>
          <w:szCs w:val="30"/>
          <w:lang w:val="en-US" w:eastAsia="zh-CN"/>
        </w:rPr>
      </w:pPr>
      <w:r>
        <w:rPr>
          <w:rFonts w:hint="eastAsia" w:ascii="Times New Roman" w:hAnsi="Times New Roman" w:eastAsia="仿宋_GB2312" w:cs="Times New Roman"/>
          <w:color w:val="auto"/>
          <w:sz w:val="30"/>
          <w:szCs w:val="30"/>
        </w:rPr>
        <w:t>电话：029-88</w:t>
      </w:r>
      <w:r>
        <w:rPr>
          <w:rFonts w:hint="eastAsia" w:ascii="Times New Roman" w:hAnsi="Times New Roman" w:eastAsia="仿宋_GB2312" w:cs="Times New Roman"/>
          <w:color w:val="auto"/>
          <w:sz w:val="30"/>
          <w:szCs w:val="30"/>
          <w:lang w:val="en-US" w:eastAsia="zh-CN"/>
        </w:rPr>
        <w:t>150978；029-88150690</w:t>
      </w:r>
    </w:p>
    <w:p>
      <w:pPr>
        <w:adjustRightInd w:val="0"/>
        <w:snapToGrid w:val="0"/>
        <w:spacing w:line="360" w:lineRule="auto"/>
        <w:ind w:firstLine="600"/>
        <w:rPr>
          <w:rFonts w:ascii="Times New Roman" w:hAnsi="Times New Roman" w:eastAsia="仿宋_GB2312" w:cs="Times New Roman"/>
          <w:color w:val="auto"/>
          <w:sz w:val="30"/>
        </w:rPr>
      </w:pPr>
      <w:r>
        <w:rPr>
          <w:rFonts w:hint="eastAsia" w:ascii="Times New Roman" w:hAnsi="Times New Roman" w:eastAsia="仿宋_GB2312" w:cs="Times New Roman"/>
          <w:color w:val="auto"/>
          <w:sz w:val="30"/>
          <w:szCs w:val="30"/>
        </w:rPr>
        <w:t>网址：</w:t>
      </w:r>
      <w:r>
        <w:rPr>
          <w:rFonts w:ascii="Calibri" w:hAnsi="Calibri" w:eastAsia="宋体" w:cs="黑体"/>
          <w:color w:val="auto"/>
        </w:rPr>
        <w:fldChar w:fldCharType="begin"/>
      </w:r>
      <w:r>
        <w:rPr>
          <w:rFonts w:ascii="Calibri" w:hAnsi="Calibri" w:eastAsia="宋体" w:cs="黑体"/>
          <w:color w:val="auto"/>
        </w:rPr>
        <w:instrText xml:space="preserve"> HYPERLINK "http://www.safe.gov.cn" </w:instrText>
      </w:r>
      <w:r>
        <w:rPr>
          <w:rFonts w:ascii="Calibri" w:hAnsi="Calibri" w:eastAsia="宋体" w:cs="黑体"/>
          <w:color w:val="auto"/>
        </w:rPr>
        <w:fldChar w:fldCharType="separate"/>
      </w:r>
      <w:r>
        <w:rPr>
          <w:rFonts w:ascii="Times New Roman" w:hAnsi="Times New Roman" w:eastAsia="仿宋_GB2312" w:cs="Times New Roman"/>
          <w:color w:val="auto"/>
          <w:sz w:val="30"/>
        </w:rPr>
        <w:t>www.safe.gov.cn</w:t>
      </w:r>
      <w:r>
        <w:rPr>
          <w:rFonts w:ascii="Times New Roman" w:hAnsi="Times New Roman" w:eastAsia="仿宋_GB2312" w:cs="Times New Roman"/>
          <w:color w:val="auto"/>
          <w:sz w:val="30"/>
        </w:rPr>
        <w:fldChar w:fldCharType="end"/>
      </w:r>
      <w:r>
        <w:rPr>
          <w:rFonts w:hint="eastAsia" w:ascii="Times New Roman" w:hAnsi="Times New Roman" w:eastAsia="仿宋_GB2312" w:cs="Times New Roman"/>
          <w:color w:val="auto"/>
          <w:sz w:val="30"/>
        </w:rPr>
        <w:t>/shaanxi</w:t>
      </w:r>
    </w:p>
    <w:p>
      <w:pPr>
        <w:adjustRightInd w:val="0"/>
        <w:snapToGrid w:val="0"/>
        <w:spacing w:line="360" w:lineRule="auto"/>
        <w:ind w:firstLine="600"/>
        <w:rPr>
          <w:rFonts w:hint="eastAsia" w:ascii="黑体" w:hAnsi="黑体" w:eastAsia="黑体" w:cs="黑体"/>
          <w:color w:val="auto"/>
          <w:sz w:val="30"/>
          <w:szCs w:val="30"/>
        </w:rPr>
      </w:pPr>
      <w:r>
        <w:rPr>
          <w:rFonts w:hint="eastAsia" w:ascii="黑体" w:hAnsi="黑体" w:eastAsia="黑体" w:cs="黑体"/>
          <w:color w:val="auto"/>
          <w:sz w:val="30"/>
          <w:szCs w:val="30"/>
        </w:rPr>
        <w:t>（十</w:t>
      </w:r>
      <w:r>
        <w:rPr>
          <w:rFonts w:hint="eastAsia" w:ascii="黑体" w:hAnsi="黑体" w:eastAsia="黑体" w:cs="黑体"/>
          <w:color w:val="auto"/>
          <w:sz w:val="30"/>
          <w:szCs w:val="30"/>
          <w:lang w:eastAsia="zh-CN"/>
        </w:rPr>
        <w:t>六</w:t>
      </w:r>
      <w:r>
        <w:rPr>
          <w:rFonts w:hint="eastAsia" w:ascii="黑体" w:hAnsi="黑体" w:eastAsia="黑体" w:cs="黑体"/>
          <w:color w:val="auto"/>
          <w:sz w:val="30"/>
          <w:szCs w:val="30"/>
        </w:rPr>
        <w:t>）办公地址和时间</w:t>
      </w:r>
    </w:p>
    <w:p>
      <w:pPr>
        <w:adjustRightInd w:val="0"/>
        <w:snapToGrid w:val="0"/>
        <w:spacing w:line="360" w:lineRule="auto"/>
        <w:ind w:firstLine="600"/>
        <w:rPr>
          <w:rFonts w:hint="eastAsia" w:ascii="Times New Roman" w:hAnsi="Times New Roman" w:eastAsia="仿宋_GB2312" w:cs="Times New Roman"/>
          <w:color w:val="auto"/>
          <w:sz w:val="30"/>
          <w:szCs w:val="30"/>
        </w:rPr>
      </w:pPr>
      <w:r>
        <w:rPr>
          <w:rFonts w:hint="eastAsia" w:ascii="Times New Roman" w:hAnsi="Times New Roman" w:eastAsia="仿宋_GB2312" w:cs="Times New Roman"/>
          <w:color w:val="auto"/>
          <w:sz w:val="30"/>
          <w:szCs w:val="30"/>
        </w:rPr>
        <w:t>办公地址：西安市高新路49号，中国人民银行</w:t>
      </w:r>
      <w:r>
        <w:rPr>
          <w:rFonts w:hint="eastAsia" w:ascii="Times New Roman" w:hAnsi="Times New Roman" w:eastAsia="仿宋_GB2312" w:cs="Times New Roman"/>
          <w:color w:val="auto"/>
          <w:sz w:val="30"/>
          <w:szCs w:val="30"/>
          <w:lang w:eastAsia="zh-CN"/>
        </w:rPr>
        <w:t>陕西省</w:t>
      </w:r>
      <w:bookmarkStart w:id="0" w:name="_GoBack"/>
      <w:bookmarkEnd w:id="0"/>
      <w:r>
        <w:rPr>
          <w:rFonts w:hint="eastAsia" w:ascii="Times New Roman" w:hAnsi="Times New Roman" w:eastAsia="仿宋_GB2312" w:cs="Times New Roman"/>
          <w:color w:val="auto"/>
          <w:sz w:val="30"/>
          <w:szCs w:val="30"/>
        </w:rPr>
        <w:t>分行</w:t>
      </w:r>
      <w:r>
        <w:rPr>
          <w:rFonts w:hint="eastAsia" w:ascii="Times New Roman" w:hAnsi="Times New Roman" w:eastAsia="仿宋_GB2312" w:cs="Times New Roman"/>
          <w:color w:val="auto"/>
          <w:sz w:val="30"/>
          <w:szCs w:val="30"/>
          <w:lang w:eastAsia="zh-CN"/>
        </w:rPr>
        <w:t>机关大楼</w:t>
      </w:r>
      <w:r>
        <w:rPr>
          <w:rFonts w:hint="eastAsia" w:ascii="Times New Roman" w:hAnsi="Times New Roman" w:eastAsia="仿宋_GB2312" w:cs="Times New Roman"/>
          <w:color w:val="auto"/>
          <w:sz w:val="30"/>
          <w:szCs w:val="30"/>
          <w:lang w:val="en-US" w:eastAsia="zh-CN"/>
        </w:rPr>
        <w:t>908</w:t>
      </w:r>
      <w:r>
        <w:rPr>
          <w:rFonts w:hint="eastAsia" w:ascii="Times New Roman" w:hAnsi="Times New Roman" w:eastAsia="仿宋_GB2312" w:cs="Times New Roman"/>
          <w:color w:val="auto"/>
          <w:sz w:val="30"/>
          <w:szCs w:val="30"/>
        </w:rPr>
        <w:t>房间。</w:t>
      </w:r>
    </w:p>
    <w:p>
      <w:pPr>
        <w:adjustRightInd w:val="0"/>
        <w:snapToGrid w:val="0"/>
        <w:spacing w:line="360" w:lineRule="auto"/>
        <w:ind w:firstLine="600"/>
        <w:rPr>
          <w:rFonts w:hint="eastAsia" w:ascii="Times New Roman" w:hAnsi="Times New Roman" w:eastAsia="仿宋_GB2312" w:cs="Times New Roman"/>
          <w:color w:val="auto"/>
          <w:sz w:val="30"/>
          <w:szCs w:val="30"/>
        </w:rPr>
      </w:pPr>
      <w:r>
        <w:rPr>
          <w:rFonts w:hint="eastAsia" w:ascii="Times New Roman" w:hAnsi="Times New Roman" w:eastAsia="仿宋_GB2312" w:cs="Times New Roman"/>
          <w:color w:val="auto"/>
          <w:sz w:val="30"/>
          <w:szCs w:val="30"/>
        </w:rPr>
        <w:t>办公时间：工作日8:30-11:30,13:30-17:00。</w:t>
      </w:r>
    </w:p>
    <w:p>
      <w:pPr>
        <w:rPr>
          <w:rFonts w:hint="eastAsia" w:ascii="Times New Roman" w:hAnsi="Times New Roman" w:eastAsia="仿宋_GB2312" w:cs="Times New Roman"/>
          <w:color w:val="auto"/>
          <w:sz w:val="30"/>
          <w:szCs w:val="30"/>
        </w:rPr>
      </w:pPr>
      <w:r>
        <w:rPr>
          <w:rFonts w:hint="eastAsia" w:ascii="Times New Roman" w:hAnsi="Times New Roman" w:eastAsia="仿宋_GB2312" w:cs="Times New Roman"/>
          <w:color w:val="auto"/>
          <w:sz w:val="30"/>
          <w:szCs w:val="30"/>
        </w:rPr>
        <w:br w:type="page"/>
      </w:r>
    </w:p>
    <w:p>
      <w:pPr>
        <w:ind w:right="300"/>
        <w:rPr>
          <w:rFonts w:ascii="Times New Roman" w:hAnsi="Times New Roman" w:eastAsia="仿宋_GB2312" w:cs="Times New Roman"/>
          <w:sz w:val="30"/>
          <w:szCs w:val="30"/>
        </w:rPr>
      </w:pPr>
      <w:r>
        <w:rPr>
          <w:rFonts w:ascii="Times New Roman" w:hAnsi="Times New Roman" w:eastAsia="仿宋_GB2312" w:cs="Times New Roman"/>
          <w:sz w:val="30"/>
          <w:szCs w:val="30"/>
        </w:rPr>
        <w:t>附录一</w:t>
      </w:r>
    </w:p>
    <w:p>
      <w:pPr>
        <w:ind w:right="-58"/>
        <w:jc w:val="center"/>
        <w:rPr>
          <w:rFonts w:ascii="Times New Roman" w:hAnsi="Times New Roman" w:eastAsia="黑体" w:cs="Times New Roman"/>
          <w:sz w:val="30"/>
          <w:szCs w:val="30"/>
        </w:rPr>
      </w:pPr>
      <w:r>
        <w:rPr>
          <w:rFonts w:ascii="Times New Roman" w:hAnsi="Times New Roman" w:eastAsia="黑体" w:cs="Times New Roman"/>
          <w:sz w:val="30"/>
          <w:szCs w:val="30"/>
        </w:rPr>
        <w:t>基本流程图</w:t>
      </w:r>
    </w:p>
    <w:p>
      <w:pPr>
        <w:ind w:right="300"/>
        <w:rPr>
          <w:rFonts w:ascii="Times New Roman" w:hAnsi="Times New Roman" w:eastAsia="仿宋_GB2312" w:cs="Times New Roman"/>
          <w:sz w:val="30"/>
          <w:szCs w:val="30"/>
        </w:rPr>
      </w:pPr>
      <w:r>
        <w:rPr>
          <w:rFonts w:ascii="Times New Roman" w:hAnsi="Times New Roman" w:eastAsia="仿宋_GB2312" w:cs="Times New Roman"/>
          <w:kern w:val="2"/>
          <w:sz w:val="30"/>
          <w:szCs w:val="30"/>
          <w:lang w:val="en-US" w:eastAsia="zh-CN" w:bidi="ar-SA"/>
        </w:rPr>
        <w:pict>
          <v:group id="Group 1394" o:spid="_x0000_s1026" style="position:absolute;left:0;margin-left:-12.35pt;margin-top:8.4pt;height:586.05pt;width:446.05pt;rotation:0f;z-index:251658240;" coordorigin="1347,3000" coordsize="8921,11721">
            <o:lock v:ext="edit" position="f" selection="f" grouping="f" rotation="f" cropping="f" text="f" aspectratio="f"/>
            <v:rect id="Rectangle 1395" o:spid="_x0000_s1027" style="position:absolute;left:4255;top:11319;height:534;width:2985;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t>审核</w:t>
                    </w:r>
                  </w:p>
                </w:txbxContent>
              </v:textbox>
            </v:rect>
            <v:shape id="AutoShape 1396" o:spid="_x0000_s1028" type="#_x0000_t116" style="position:absolute;left:5767;top:13681;height:1037;width:3675;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依法作出不予许可决定，</w:t>
                    </w:r>
                  </w:p>
                  <w:p>
                    <w:pPr>
                      <w:jc w:val="center"/>
                    </w:pPr>
                    <w:r>
                      <w:rPr>
                        <w:rFonts w:hint="eastAsia"/>
                      </w:rPr>
                      <w:t>并送达</w:t>
                    </w:r>
                  </w:p>
                </w:txbxContent>
              </v:textbox>
            </v:shape>
            <v:shape id="AutoShape 1397" o:spid="_x0000_s1029" type="#_x0000_t116" style="position:absolute;left:2042;top:13663;height:1058;width:3461;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依法予以许可，出具相关</w:t>
                    </w:r>
                  </w:p>
                  <w:p>
                    <w:pPr>
                      <w:jc w:val="center"/>
                    </w:pPr>
                    <w:r>
                      <w:rPr>
                        <w:rFonts w:hint="eastAsia"/>
                      </w:rPr>
                      <w:t>业务办理凭证，并送达</w:t>
                    </w:r>
                  </w:p>
                </w:txbxContent>
              </v:textbox>
            </v:shape>
            <v:shape id="AutoShape 1398" o:spid="_x0000_s1030" type="#_x0000_t32" style="position:absolute;left:5729;top:10693;height:626;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399" o:spid="_x0000_s1031" type="#_x0000_t32" style="position:absolute;left:7678;top:12568;height:1095;width:17;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400" o:spid="_x0000_s1032" type="#_x0000_t32" style="position:absolute;left:3705;top:12568;height:1035;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401" o:spid="_x0000_s1033" type="#_x0000_t32" style="position:absolute;left:5730;top:11853;height:715;width:1;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1402" o:spid="_x0000_s1034" type="#_x0000_t32" style="position:absolute;left:3706;top:12568;height:0;width:3972;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group id="Group 1403" o:spid="_x0000_s1035" style="position:absolute;left:1347;top:3000;height:7693;width:8921;rotation:0f;" coordorigin="1347,3000" coordsize="8921,7693">
              <o:lock v:ext="edit" position="f" selection="f" grouping="f" rotation="f" cropping="f" text="f" aspectratio="f"/>
              <v:shape id="AutoShape 1404" o:spid="_x0000_s1036" type="#_x0000_t32" style="position:absolute;left:7240;top:9566;height:608;width:0;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group id="Group 1405" o:spid="_x0000_s1037" style="position:absolute;left:1347;top:3000;height:7693;width:8921;rotation:0f;" coordorigin="1347,3000" coordsize="8921,7693">
                <o:lock v:ext="edit" position="f" selection="f" grouping="f" rotation="f" cropping="f" text="f" aspectratio="f"/>
                <v:shape id="AutoShape 1406" o:spid="_x0000_s1038" type="#_x0000_t34" style="position:absolute;left:7714;top:6155;height:1285;width:3823;rotation:17694720f;" o:ole="f" o:connectortype="elbow" fillcolor="#FFFFFF" filled="f" o:preferrelative="t" stroked="t" coordorigin="0,0" coordsize="21600,21600" adj="33">
                  <v:fill on="f" color2="#FFFFFF" focus="0%"/>
                  <v:stroke color="#000000" color2="#FFFFFF" miterlimit="2"/>
                  <v:imagedata gain="65536f" blacklevel="0f" gamma="0"/>
                  <o:lock v:ext="edit" position="f" selection="f" grouping="f" rotation="f" cropping="f" text="f" aspectratio="f"/>
                </v:shape>
                <v:shape id="Text Box 1407" o:spid="_x0000_s1039" type="#_x0000_t202" style="position:absolute;left:9343;top:5297;height:2553;width:754;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不能提供符合受理要求的</w:t>
                        </w:r>
                      </w:p>
                      <w:p>
                        <w:pPr>
                          <w:jc w:val="center"/>
                        </w:pPr>
                        <w:r>
                          <w:rPr>
                            <w:rFonts w:hint="eastAsia"/>
                          </w:rPr>
                          <w:t>材料</w:t>
                        </w:r>
                      </w:p>
                    </w:txbxContent>
                  </v:textbox>
                </v:shape>
                <v:shape id="AutoShape 1408" o:spid="_x0000_s1040" type="#_x0000_t32" style="position:absolute;left:7240;top:7472;height:378;width:0;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Text Box 1409" o:spid="_x0000_s1041" type="#_x0000_t202" style="position:absolute;left:3915;top:9566;height:477;width:2737;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材料齐全并符合受理要求</w:t>
                        </w:r>
                      </w:p>
                    </w:txbxContent>
                  </v:textbox>
                </v:shape>
                <v:shape id="AutoShape 1410" o:spid="_x0000_s1042" type="#_x0000_t4" style="position:absolute;left:5503;top:7833;height:1733;width:3480;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p>
                      <w:p>
                        <w:pPr>
                          <w:jc w:val="center"/>
                        </w:pPr>
                        <w:r>
                          <w:rPr>
                            <w:rFonts w:hint="eastAsia"/>
                          </w:rPr>
                          <w:t>申请人补充材料</w:t>
                        </w:r>
                      </w:p>
                    </w:txbxContent>
                  </v:textbox>
                </v:shape>
                <v:rect id="Rectangle 1411" o:spid="_x0000_s1043" style="position:absolute;left:3915;top:10174;height:519;width:4816;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依法应予受理，出具行政审批受理单</w:t>
                        </w:r>
                      </w:p>
                      <w:p>
                        <w:pPr>
                          <w:jc w:val="center"/>
                        </w:pPr>
                      </w:p>
                    </w:txbxContent>
                  </v:textbox>
                </v:rect>
                <v:rect id="Rectangle 1412" o:spid="_x0000_s1044" style="position:absolute;left:5913;top:6341;height:1114;width:3190;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材料不全或不符合法定形式的，</w:t>
                        </w:r>
                      </w:p>
                      <w:p>
                        <w:pPr>
                          <w:jc w:val="center"/>
                        </w:pPr>
                        <w:r>
                          <w:rPr>
                            <w:rFonts w:hint="eastAsia"/>
                          </w:rPr>
                          <w:t>一次性告知补正材料，</w:t>
                        </w:r>
                      </w:p>
                      <w:p>
                        <w:pPr>
                          <w:jc w:val="center"/>
                        </w:pPr>
                        <w:r>
                          <w:rPr>
                            <w:rFonts w:hint="eastAsia"/>
                          </w:rPr>
                          <w:t>出具行政审批补正材料通知书</w:t>
                        </w:r>
                      </w:p>
                      <w:p/>
                    </w:txbxContent>
                  </v:textbox>
                </v:rect>
                <v:shape id="AutoShape 1413" o:spid="_x0000_s1045" type="#_x0000_t116" style="position:absolute;left:5913;top:4337;height:1423;width:2818;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依法不予受理的，作出不予受理决定，出具不予受理行政审批申请通知书</w:t>
                        </w:r>
                      </w:p>
                      <w:p>
                        <w:pPr>
                          <w:jc w:val="center"/>
                        </w:pPr>
                      </w:p>
                    </w:txbxContent>
                  </v:textbox>
                </v:shape>
                <v:group id="Group 1414" o:spid="_x0000_s1046" style="position:absolute;left:1347;top:3000;height:7424;width:4594;rotation:0f;" coordorigin="1347,3000" coordsize="4594,7424">
                  <o:lock v:ext="edit" position="f" selection="f" grouping="f" rotation="f" cropping="f" text="f" aspectratio="f"/>
                  <v:shape id="AutoShape 1415" o:spid="_x0000_s1047" type="#_x0000_t32" style="position:absolute;left:5010;top:6910;height:0;width:93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416" o:spid="_x0000_s1048" type="#_x0000_t32" style="position:absolute;left:2702;top:6986;height:3437;width:1;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group id="Group 1417" o:spid="_x0000_s1049" style="position:absolute;left:1347;top:3000;height:3986;width:3629;rotation:0f;" coordorigin="1347,3000" coordsize="3629,3986">
                    <o:lock v:ext="edit" position="f" selection="f" grouping="f" rotation="f" cropping="f" text="f" aspectratio="f"/>
                    <v:shape id="AutoShape 1418" o:spid="_x0000_s1050" type="#_x0000_t32" style="position:absolute;left:2743;top:4172;height:764;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419" o:spid="_x0000_s1051" type="#_x0000_t32" style="position:absolute;left:3747;top:5967;height:0;width:1229;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1420" o:spid="_x0000_s1052" type="#_x0000_t4" style="position:absolute;left:1347;top:4936;height:2050;width:2773;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接件（</w:t>
                            </w:r>
                            <w:r>
                              <w:t>5</w:t>
                            </w:r>
                            <w:r>
                              <w:rPr>
                                <w:rFonts w:hint="eastAsia"/>
                              </w:rPr>
                              <w:t>个工作日）作出是否受理决定</w:t>
                            </w:r>
                          </w:p>
                          <w:p/>
                        </w:txbxContent>
                      </v:textbox>
                    </v:shape>
                    <v:shape id="AutoShape 1421" o:spid="_x0000_s1053" type="#_x0000_t116" style="position:absolute;left:1531;top:3000;height:1172;width:2724;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申请人提出书面申请，并提交材料</w:t>
                            </w:r>
                          </w:p>
                        </w:txbxContent>
                      </v:textbox>
                    </v:shape>
                  </v:group>
                  <v:shape id="AutoShape 1422" o:spid="_x0000_s1054" type="#_x0000_t32" style="position:absolute;left:2702;top:10423;height:1;width:1213;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423" o:spid="_x0000_s1055" type="#_x0000_t32" style="position:absolute;left:5010;top:4999;height:1921;width:0;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1424" o:spid="_x0000_s1056" type="#_x0000_t32" style="position:absolute;left:5010;top:4989;height:1;width:903;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Text Box 1425" o:spid="_x0000_s1057" type="#_x0000_t202" style="position:absolute;left:1944;top:8280;height:1152;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r>
                            <w:rPr>
                              <w:rFonts w:hint="eastAsia"/>
                            </w:rPr>
                            <w:t>是</w:t>
                          </w:r>
                        </w:p>
                      </w:txbxContent>
                    </v:textbox>
                  </v:shape>
                  <v:shape id="Text Box 1426" o:spid="_x0000_s1058" type="#_x0000_t202" style="position:absolute;left:4146;top:5220;height:471;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style="mso-fit-shape-to-text:t;">
                      <w:txbxContent>
                        <w:p>
                          <w:r>
                            <w:rPr>
                              <w:rFonts w:hint="eastAsia"/>
                            </w:rPr>
                            <w:t>否</w:t>
                          </w:r>
                        </w:p>
                      </w:txbxContent>
                    </v:textbox>
                  </v:shape>
                </v:group>
                <v:shape id="AutoShape 1427" o:spid="_x0000_s1059" type="#_x0000_t32" style="position:absolute;left:8731;top:4886;flip:x;height:0;width:1537;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group>
            </v:group>
          </v:group>
        </w:pict>
      </w: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r>
        <w:rPr>
          <w:rFonts w:ascii="Times New Roman" w:hAnsi="Times New Roman" w:eastAsia="仿宋_GB2312" w:cs="Times New Roman"/>
          <w:sz w:val="30"/>
          <w:szCs w:val="30"/>
        </w:rPr>
        <w:tab/>
      </w: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r>
        <w:rPr>
          <w:rFonts w:ascii="Times New Roman" w:hAnsi="Times New Roman" w:eastAsia="仿宋_GB2312" w:cs="Times New Roman"/>
          <w:sz w:val="30"/>
          <w:szCs w:val="30"/>
        </w:rPr>
        <w:t>附录二</w:t>
      </w:r>
    </w:p>
    <w:p>
      <w:pPr>
        <w:adjustRightInd w:val="0"/>
        <w:snapToGrid w:val="0"/>
        <w:spacing w:line="360" w:lineRule="auto"/>
        <w:jc w:val="center"/>
        <w:rPr>
          <w:rFonts w:ascii="Times New Roman" w:hAnsi="Times New Roman" w:eastAsia="黑体" w:cs="Times New Roman"/>
          <w:sz w:val="30"/>
          <w:szCs w:val="30"/>
        </w:rPr>
      </w:pPr>
    </w:p>
    <w:p>
      <w:pPr>
        <w:adjustRightInd w:val="0"/>
        <w:snapToGrid w:val="0"/>
        <w:spacing w:line="360" w:lineRule="auto"/>
        <w:jc w:val="center"/>
        <w:rPr>
          <w:rFonts w:ascii="Times New Roman" w:hAnsi="Times New Roman" w:eastAsia="黑体" w:cs="Times New Roman"/>
          <w:sz w:val="30"/>
          <w:szCs w:val="30"/>
        </w:rPr>
      </w:pPr>
      <w:r>
        <w:rPr>
          <w:rFonts w:ascii="Times New Roman" w:hAnsi="Times New Roman" w:eastAsia="黑体" w:cs="Times New Roman"/>
          <w:sz w:val="30"/>
          <w:szCs w:val="30"/>
        </w:rPr>
        <w:t>常见问题</w:t>
      </w:r>
    </w:p>
    <w:p>
      <w:pPr>
        <w:adjustRightInd w:val="0"/>
        <w:snapToGrid w:val="0"/>
        <w:spacing w:line="360" w:lineRule="auto"/>
        <w:jc w:val="center"/>
        <w:rPr>
          <w:rFonts w:ascii="Times New Roman" w:hAnsi="Times New Roman" w:eastAsia="黑体" w:cs="Times New Roman"/>
          <w:sz w:val="30"/>
          <w:szCs w:val="30"/>
        </w:rPr>
      </w:pP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1．问：不具备吸存放贷业务资格的非存款类金融机构外债资金是否可以意愿结汇？</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答：不具备吸存放贷业务资格的非存款类金融机构外债资金，用于服务实体经济发展，并符合国家产业宏观调控方向，经所在地外汇分局批准可结汇使用。</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2．问：银行的外债可以结汇吗？</w:t>
      </w:r>
    </w:p>
    <w:p>
      <w:pPr>
        <w:adjustRightInd w:val="0"/>
        <w:snapToGrid w:val="0"/>
        <w:spacing w:line="360" w:lineRule="auto"/>
        <w:ind w:firstLine="600" w:firstLineChars="200"/>
        <w:rPr>
          <w:rFonts w:ascii="Times New Roman" w:hAnsi="Times New Roman" w:eastAsia="黑体" w:cs="Times New Roman"/>
          <w:sz w:val="48"/>
          <w:szCs w:val="48"/>
        </w:rPr>
      </w:pPr>
      <w:r>
        <w:rPr>
          <w:rFonts w:ascii="Times New Roman" w:hAnsi="Times New Roman" w:eastAsia="仿宋_GB2312" w:cs="Times New Roman"/>
          <w:sz w:val="30"/>
          <w:szCs w:val="30"/>
        </w:rPr>
        <w:t>答：服务实体经济发展，并符合国家产业宏观调控方向，经国家外汇管理局批准，金融机构融入外汇资金可结汇使用。</w:t>
      </w:r>
    </w:p>
    <w:sectPr>
      <w:footerReference r:id="rId5"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方正小标宋_GBK">
    <w:panose1 w:val="02000000000000000000"/>
    <w:charset w:val="86"/>
    <w:family w:val="auto"/>
    <w:pitch w:val="default"/>
    <w:sig w:usb0="A00002BF" w:usb1="38CF7CFA" w:usb2="00082016" w:usb3="00000000" w:csb0="00040001" w:csb1="00000000"/>
  </w:font>
  <w:font w:name="Calibri">
    <w:panose1 w:val="020F0502020204030204"/>
    <w:charset w:val="00"/>
    <w:family w:val="auto"/>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仿宋_GB2312">
    <w:panose1 w:val="02010609030101010101"/>
    <w:charset w:val="86"/>
    <w:family w:val="auto"/>
    <w:pitch w:val="default"/>
    <w:sig w:usb0="00000001" w:usb1="080E0000" w:usb2="00000000" w:usb3="00000000" w:csb0="00040000" w:csb1="00000000"/>
  </w:font>
  <w:font w:name="ˎ̥">
    <w:altName w:val="Times New Roman"/>
    <w:panose1 w:val="00000000000000000000"/>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pPr>
    <w:r>
      <w:fldChar w:fldCharType="begin"/>
    </w:r>
    <w:r>
      <w:instrText xml:space="preserve"> PAGE   \* MERGEFORMAT </w:instrText>
    </w:r>
    <w:r>
      <w:fldChar w:fldCharType="separate"/>
    </w:r>
    <w:r>
      <w:rPr>
        <w:lang w:val="zh-CN"/>
      </w:rPr>
      <w:t>1</w:t>
    </w:r>
    <w:r>
      <w:rPr>
        <w:lang w:val="zh-CN"/>
      </w:rPr>
      <w:fldChar w:fldCharType="end"/>
    </w: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pPr>
    <w:r>
      <w:fldChar w:fldCharType="begin"/>
    </w:r>
    <w:r>
      <w:instrText xml:space="preserve"> PAGE   \* MERGEFORMAT </w:instrText>
    </w:r>
    <w:r>
      <w:fldChar w:fldCharType="separate"/>
    </w:r>
    <w:r>
      <w:rPr>
        <w:lang w:val="zh-CN"/>
      </w:rPr>
      <w:t>7</w:t>
    </w:r>
    <w:r>
      <w:fldChar w:fldCharType="end"/>
    </w:r>
  </w:p>
  <w:p>
    <w:pPr>
      <w:pStyle w:val="8"/>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AB131E"/>
    <w:rsid w:val="00003372"/>
    <w:rsid w:val="00004509"/>
    <w:rsid w:val="00022191"/>
    <w:rsid w:val="00023783"/>
    <w:rsid w:val="00041960"/>
    <w:rsid w:val="00041E69"/>
    <w:rsid w:val="00041F4C"/>
    <w:rsid w:val="00042B58"/>
    <w:rsid w:val="00054B00"/>
    <w:rsid w:val="00054F8B"/>
    <w:rsid w:val="00055270"/>
    <w:rsid w:val="00057F76"/>
    <w:rsid w:val="0006560A"/>
    <w:rsid w:val="00072F8A"/>
    <w:rsid w:val="000750C8"/>
    <w:rsid w:val="00080630"/>
    <w:rsid w:val="00091661"/>
    <w:rsid w:val="00092D53"/>
    <w:rsid w:val="00096CBB"/>
    <w:rsid w:val="00097F7B"/>
    <w:rsid w:val="000A3B03"/>
    <w:rsid w:val="000B6901"/>
    <w:rsid w:val="000B728B"/>
    <w:rsid w:val="000B7620"/>
    <w:rsid w:val="000C15B3"/>
    <w:rsid w:val="000C2B33"/>
    <w:rsid w:val="000D1995"/>
    <w:rsid w:val="000D7478"/>
    <w:rsid w:val="001135E5"/>
    <w:rsid w:val="0012271F"/>
    <w:rsid w:val="00130519"/>
    <w:rsid w:val="00132D03"/>
    <w:rsid w:val="00135BEE"/>
    <w:rsid w:val="0014667A"/>
    <w:rsid w:val="00154B58"/>
    <w:rsid w:val="00157C64"/>
    <w:rsid w:val="00157E81"/>
    <w:rsid w:val="00170126"/>
    <w:rsid w:val="00177059"/>
    <w:rsid w:val="00181D3E"/>
    <w:rsid w:val="00196FAE"/>
    <w:rsid w:val="001A3E49"/>
    <w:rsid w:val="001A7211"/>
    <w:rsid w:val="001A72AA"/>
    <w:rsid w:val="001B0681"/>
    <w:rsid w:val="001B1E2C"/>
    <w:rsid w:val="001C44C7"/>
    <w:rsid w:val="001D65A2"/>
    <w:rsid w:val="001E1407"/>
    <w:rsid w:val="001F4BD4"/>
    <w:rsid w:val="001F7297"/>
    <w:rsid w:val="00205D07"/>
    <w:rsid w:val="00212F39"/>
    <w:rsid w:val="00217116"/>
    <w:rsid w:val="00231EED"/>
    <w:rsid w:val="00233841"/>
    <w:rsid w:val="00235F24"/>
    <w:rsid w:val="002417D2"/>
    <w:rsid w:val="00241FE8"/>
    <w:rsid w:val="0024527E"/>
    <w:rsid w:val="00253F7B"/>
    <w:rsid w:val="00263B1F"/>
    <w:rsid w:val="00291C17"/>
    <w:rsid w:val="0029313A"/>
    <w:rsid w:val="002B0B1C"/>
    <w:rsid w:val="002B598D"/>
    <w:rsid w:val="002B61C1"/>
    <w:rsid w:val="002E1323"/>
    <w:rsid w:val="002F3868"/>
    <w:rsid w:val="00302119"/>
    <w:rsid w:val="00302E87"/>
    <w:rsid w:val="00306280"/>
    <w:rsid w:val="00310261"/>
    <w:rsid w:val="00343044"/>
    <w:rsid w:val="00344B01"/>
    <w:rsid w:val="00353AC4"/>
    <w:rsid w:val="003616B4"/>
    <w:rsid w:val="003751DB"/>
    <w:rsid w:val="003A57B2"/>
    <w:rsid w:val="003C7132"/>
    <w:rsid w:val="003D77A5"/>
    <w:rsid w:val="003E1D32"/>
    <w:rsid w:val="003E6BF6"/>
    <w:rsid w:val="003F221D"/>
    <w:rsid w:val="003F3097"/>
    <w:rsid w:val="003F4E58"/>
    <w:rsid w:val="00402AE8"/>
    <w:rsid w:val="00405FE6"/>
    <w:rsid w:val="004105BC"/>
    <w:rsid w:val="00421C27"/>
    <w:rsid w:val="00440A1F"/>
    <w:rsid w:val="00443603"/>
    <w:rsid w:val="00443604"/>
    <w:rsid w:val="004501EA"/>
    <w:rsid w:val="00460458"/>
    <w:rsid w:val="0046792D"/>
    <w:rsid w:val="004767DF"/>
    <w:rsid w:val="00493CCC"/>
    <w:rsid w:val="004A0218"/>
    <w:rsid w:val="004A7840"/>
    <w:rsid w:val="004B545A"/>
    <w:rsid w:val="004B7E80"/>
    <w:rsid w:val="004C457E"/>
    <w:rsid w:val="004C48D5"/>
    <w:rsid w:val="004D03B7"/>
    <w:rsid w:val="004D1436"/>
    <w:rsid w:val="004D57AE"/>
    <w:rsid w:val="004D5EEE"/>
    <w:rsid w:val="004E4568"/>
    <w:rsid w:val="005056D4"/>
    <w:rsid w:val="005151F3"/>
    <w:rsid w:val="00526B2B"/>
    <w:rsid w:val="005362B0"/>
    <w:rsid w:val="00542447"/>
    <w:rsid w:val="00542ACD"/>
    <w:rsid w:val="00564312"/>
    <w:rsid w:val="005A2981"/>
    <w:rsid w:val="005C6937"/>
    <w:rsid w:val="005C7F02"/>
    <w:rsid w:val="005D6B44"/>
    <w:rsid w:val="005F0A86"/>
    <w:rsid w:val="005F144A"/>
    <w:rsid w:val="005F1C00"/>
    <w:rsid w:val="0061621E"/>
    <w:rsid w:val="00630AA8"/>
    <w:rsid w:val="00630B2E"/>
    <w:rsid w:val="00643D2A"/>
    <w:rsid w:val="00664E11"/>
    <w:rsid w:val="00673B30"/>
    <w:rsid w:val="006864FA"/>
    <w:rsid w:val="00696E5D"/>
    <w:rsid w:val="006B386B"/>
    <w:rsid w:val="006B5B86"/>
    <w:rsid w:val="006C5908"/>
    <w:rsid w:val="006C633E"/>
    <w:rsid w:val="006D56AB"/>
    <w:rsid w:val="006D734F"/>
    <w:rsid w:val="006E043F"/>
    <w:rsid w:val="006E4695"/>
    <w:rsid w:val="006E4B8B"/>
    <w:rsid w:val="006E5901"/>
    <w:rsid w:val="007033AD"/>
    <w:rsid w:val="00703F39"/>
    <w:rsid w:val="0071091C"/>
    <w:rsid w:val="00714961"/>
    <w:rsid w:val="00744BD5"/>
    <w:rsid w:val="00745748"/>
    <w:rsid w:val="00750E36"/>
    <w:rsid w:val="00753CB0"/>
    <w:rsid w:val="00755460"/>
    <w:rsid w:val="00761FB7"/>
    <w:rsid w:val="00762107"/>
    <w:rsid w:val="00764CB9"/>
    <w:rsid w:val="00765055"/>
    <w:rsid w:val="00765B05"/>
    <w:rsid w:val="0077269F"/>
    <w:rsid w:val="00785F45"/>
    <w:rsid w:val="007A2780"/>
    <w:rsid w:val="007A68EA"/>
    <w:rsid w:val="007A7BCC"/>
    <w:rsid w:val="007B06FC"/>
    <w:rsid w:val="007B0FEF"/>
    <w:rsid w:val="007B2DB5"/>
    <w:rsid w:val="007C465E"/>
    <w:rsid w:val="007D2C11"/>
    <w:rsid w:val="007D6171"/>
    <w:rsid w:val="007D69EA"/>
    <w:rsid w:val="007E2C7B"/>
    <w:rsid w:val="007E411B"/>
    <w:rsid w:val="007F0863"/>
    <w:rsid w:val="007F2F3B"/>
    <w:rsid w:val="00802307"/>
    <w:rsid w:val="00814FD7"/>
    <w:rsid w:val="0082168E"/>
    <w:rsid w:val="00821968"/>
    <w:rsid w:val="008471B6"/>
    <w:rsid w:val="00851521"/>
    <w:rsid w:val="00851989"/>
    <w:rsid w:val="0085686A"/>
    <w:rsid w:val="00860878"/>
    <w:rsid w:val="008622E8"/>
    <w:rsid w:val="008731FF"/>
    <w:rsid w:val="0088294A"/>
    <w:rsid w:val="0089282A"/>
    <w:rsid w:val="008A3757"/>
    <w:rsid w:val="008A4538"/>
    <w:rsid w:val="008A704B"/>
    <w:rsid w:val="008B08D2"/>
    <w:rsid w:val="008B4EE5"/>
    <w:rsid w:val="008B5807"/>
    <w:rsid w:val="008D5FA0"/>
    <w:rsid w:val="008E2D38"/>
    <w:rsid w:val="008F5724"/>
    <w:rsid w:val="008F5900"/>
    <w:rsid w:val="00902633"/>
    <w:rsid w:val="009027D8"/>
    <w:rsid w:val="0090372F"/>
    <w:rsid w:val="00911E27"/>
    <w:rsid w:val="0092129A"/>
    <w:rsid w:val="00925BB2"/>
    <w:rsid w:val="00930C8C"/>
    <w:rsid w:val="009360EA"/>
    <w:rsid w:val="00941CA2"/>
    <w:rsid w:val="00947C57"/>
    <w:rsid w:val="00951149"/>
    <w:rsid w:val="00960EDB"/>
    <w:rsid w:val="009622DB"/>
    <w:rsid w:val="009664BC"/>
    <w:rsid w:val="009723A6"/>
    <w:rsid w:val="0097320B"/>
    <w:rsid w:val="00980F02"/>
    <w:rsid w:val="00991B77"/>
    <w:rsid w:val="00997523"/>
    <w:rsid w:val="009A0C5D"/>
    <w:rsid w:val="009C4672"/>
    <w:rsid w:val="009C491B"/>
    <w:rsid w:val="009D0911"/>
    <w:rsid w:val="009D24F8"/>
    <w:rsid w:val="009D688C"/>
    <w:rsid w:val="009E67AD"/>
    <w:rsid w:val="009F3074"/>
    <w:rsid w:val="009F7A36"/>
    <w:rsid w:val="00A249C2"/>
    <w:rsid w:val="00A24FAB"/>
    <w:rsid w:val="00A301E7"/>
    <w:rsid w:val="00A42E69"/>
    <w:rsid w:val="00A45CA7"/>
    <w:rsid w:val="00A51415"/>
    <w:rsid w:val="00A54A5A"/>
    <w:rsid w:val="00A6014E"/>
    <w:rsid w:val="00A60356"/>
    <w:rsid w:val="00A75425"/>
    <w:rsid w:val="00A81DF1"/>
    <w:rsid w:val="00A8457E"/>
    <w:rsid w:val="00A90EF3"/>
    <w:rsid w:val="00AA7717"/>
    <w:rsid w:val="00AB131E"/>
    <w:rsid w:val="00AB644F"/>
    <w:rsid w:val="00AC3F5E"/>
    <w:rsid w:val="00AE7ACF"/>
    <w:rsid w:val="00B06409"/>
    <w:rsid w:val="00B17D66"/>
    <w:rsid w:val="00B31FD9"/>
    <w:rsid w:val="00B35D3A"/>
    <w:rsid w:val="00B422F1"/>
    <w:rsid w:val="00B71531"/>
    <w:rsid w:val="00B7456C"/>
    <w:rsid w:val="00B84131"/>
    <w:rsid w:val="00B8630E"/>
    <w:rsid w:val="00B931F4"/>
    <w:rsid w:val="00B95573"/>
    <w:rsid w:val="00B96395"/>
    <w:rsid w:val="00BA2AF8"/>
    <w:rsid w:val="00BB2650"/>
    <w:rsid w:val="00BB5BDC"/>
    <w:rsid w:val="00BB7B76"/>
    <w:rsid w:val="00BD233D"/>
    <w:rsid w:val="00BF4EF0"/>
    <w:rsid w:val="00C024D6"/>
    <w:rsid w:val="00C02E44"/>
    <w:rsid w:val="00C147D2"/>
    <w:rsid w:val="00C2075F"/>
    <w:rsid w:val="00C23799"/>
    <w:rsid w:val="00C267BD"/>
    <w:rsid w:val="00C274C9"/>
    <w:rsid w:val="00C31E02"/>
    <w:rsid w:val="00C5234F"/>
    <w:rsid w:val="00C54291"/>
    <w:rsid w:val="00C672C3"/>
    <w:rsid w:val="00C712B2"/>
    <w:rsid w:val="00C94325"/>
    <w:rsid w:val="00C97FED"/>
    <w:rsid w:val="00CA0243"/>
    <w:rsid w:val="00CA1DBB"/>
    <w:rsid w:val="00CA2622"/>
    <w:rsid w:val="00CA7F2C"/>
    <w:rsid w:val="00CA7FF8"/>
    <w:rsid w:val="00CB5DE7"/>
    <w:rsid w:val="00CC068D"/>
    <w:rsid w:val="00CC4922"/>
    <w:rsid w:val="00CD1FF6"/>
    <w:rsid w:val="00CE25C7"/>
    <w:rsid w:val="00CE3335"/>
    <w:rsid w:val="00CE4849"/>
    <w:rsid w:val="00CE5C8E"/>
    <w:rsid w:val="00CE5F49"/>
    <w:rsid w:val="00CF0C4E"/>
    <w:rsid w:val="00D01626"/>
    <w:rsid w:val="00D2058A"/>
    <w:rsid w:val="00D33A4D"/>
    <w:rsid w:val="00D33F76"/>
    <w:rsid w:val="00D41F5E"/>
    <w:rsid w:val="00D43DC0"/>
    <w:rsid w:val="00D54E56"/>
    <w:rsid w:val="00D6407D"/>
    <w:rsid w:val="00D909FB"/>
    <w:rsid w:val="00D93E78"/>
    <w:rsid w:val="00DC6E91"/>
    <w:rsid w:val="00DC7514"/>
    <w:rsid w:val="00DD3845"/>
    <w:rsid w:val="00DE2A32"/>
    <w:rsid w:val="00DE531B"/>
    <w:rsid w:val="00E1687A"/>
    <w:rsid w:val="00E20A2E"/>
    <w:rsid w:val="00E277DE"/>
    <w:rsid w:val="00E27EE9"/>
    <w:rsid w:val="00E3239D"/>
    <w:rsid w:val="00E3439B"/>
    <w:rsid w:val="00E42C5F"/>
    <w:rsid w:val="00E56824"/>
    <w:rsid w:val="00E65A1B"/>
    <w:rsid w:val="00E72F1F"/>
    <w:rsid w:val="00E7627E"/>
    <w:rsid w:val="00E8543C"/>
    <w:rsid w:val="00E934AB"/>
    <w:rsid w:val="00EA06AC"/>
    <w:rsid w:val="00EA08BF"/>
    <w:rsid w:val="00EA24FB"/>
    <w:rsid w:val="00EB3204"/>
    <w:rsid w:val="00EB50BA"/>
    <w:rsid w:val="00EC3D33"/>
    <w:rsid w:val="00ED302A"/>
    <w:rsid w:val="00ED3A42"/>
    <w:rsid w:val="00EE02BC"/>
    <w:rsid w:val="00EE6970"/>
    <w:rsid w:val="00EF38D0"/>
    <w:rsid w:val="00EF3DDF"/>
    <w:rsid w:val="00EF4A8C"/>
    <w:rsid w:val="00F2678C"/>
    <w:rsid w:val="00F27B38"/>
    <w:rsid w:val="00F40278"/>
    <w:rsid w:val="00F41832"/>
    <w:rsid w:val="00F56988"/>
    <w:rsid w:val="00F620FB"/>
    <w:rsid w:val="00F6571F"/>
    <w:rsid w:val="00F8687E"/>
    <w:rsid w:val="00F93331"/>
    <w:rsid w:val="00F95549"/>
    <w:rsid w:val="00FA1E24"/>
    <w:rsid w:val="00FA24FB"/>
    <w:rsid w:val="00FA632B"/>
    <w:rsid w:val="00FB38EA"/>
    <w:rsid w:val="00FB5E0F"/>
    <w:rsid w:val="00FB6AFF"/>
    <w:rsid w:val="00FC4D8F"/>
    <w:rsid w:val="00FD06D3"/>
    <w:rsid w:val="00FE09D4"/>
    <w:rsid w:val="00FE3157"/>
    <w:rsid w:val="00FE6865"/>
    <w:rsid w:val="00FE6993"/>
    <w:rsid w:val="0FCA0549"/>
    <w:rsid w:val="10C41590"/>
    <w:rsid w:val="13995836"/>
    <w:rsid w:val="14BD6892"/>
    <w:rsid w:val="16597938"/>
    <w:rsid w:val="16BD3DD9"/>
    <w:rsid w:val="24BF6A58"/>
    <w:rsid w:val="2AF43684"/>
    <w:rsid w:val="31557E7B"/>
    <w:rsid w:val="31B00595"/>
    <w:rsid w:val="343659B5"/>
    <w:rsid w:val="3E9C6B44"/>
    <w:rsid w:val="402C0554"/>
    <w:rsid w:val="455C6BD8"/>
    <w:rsid w:val="49E80350"/>
    <w:rsid w:val="49EE57A9"/>
    <w:rsid w:val="519669E8"/>
    <w:rsid w:val="54327630"/>
    <w:rsid w:val="56827DFA"/>
    <w:rsid w:val="57F53838"/>
    <w:rsid w:val="59635CB4"/>
    <w:rsid w:val="5A3F68AE"/>
    <w:rsid w:val="5CD91AE3"/>
    <w:rsid w:val="601531AE"/>
    <w:rsid w:val="67180745"/>
    <w:rsid w:val="742E69F5"/>
    <w:rsid w:val="7AA82DC9"/>
    <w:rsid w:val="7F93675A"/>
  </w:rsids>
  <w:shapeDefaults>
    <o:shapedefaults fillcolor="#9CBEE0" fill="t" stroke="t">
      <v:fill type="gradient" on="t" color2="#BBD5F0" focus="0%" focussize="0f,0f" focusposition="0f,0f">
        <o:fill type="gradientUnscaled" v:ext="backwardCompatible"/>
      </v:fill>
      <v:stroke weight="1.25pt" color="#739CC3" color2="#FFFFFF" miterlimit="2"/>
    </o:shapedefaults>
    <o:shapelayout v:ext="edit">
      <o:rules v:ext="edit">
        <o:r id="V:Rule1" type="connector" idref="#AutoShape 1398"/>
        <o:r id="V:Rule2" type="connector" idref="#AutoShape 1399"/>
        <o:r id="V:Rule3" type="connector" idref="#AutoShape 1400"/>
        <o:r id="V:Rule4" type="connector" idref="#AutoShape 1401"/>
        <o:r id="V:Rule5" type="connector" idref="#AutoShape 1402"/>
        <o:r id="V:Rule6" type="connector" idref="#AutoShape 1404"/>
        <o:r id="V:Rule7" type="connector" idref="#AutoShape 1406"/>
        <o:r id="V:Rule8" type="connector" idref="#AutoShape 1408"/>
        <o:r id="V:Rule9" type="connector" idref="#AutoShape 1415"/>
        <o:r id="V:Rule10" type="connector" idref="#AutoShape 1416"/>
        <o:r id="V:Rule11" type="connector" idref="#AutoShape 1418"/>
        <o:r id="V:Rule12" type="connector" idref="#AutoShape 1419"/>
        <o:r id="V:Rule13" type="connector" idref="#AutoShape 1422"/>
        <o:r id="V:Rule14" type="connector" idref="#AutoShape 1423"/>
        <o:r id="V:Rule15" type="connector" idref="#AutoShape 1424"/>
        <o:r id="V:Rule16" type="connector" idref="#AutoShape 1427"/>
      </o:rules>
    </o:shapelayout>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semiHidden="0" w:name="footnote reference"/>
    <w:lsdException w:qFormat="1"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0" w:semiHidden="0"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32"/>
    <w:qFormat/>
    <w:uiPriority w:val="9"/>
    <w:pPr>
      <w:ind w:firstLine="600" w:firstLineChars="200"/>
      <w:outlineLvl w:val="0"/>
    </w:pPr>
    <w:rPr>
      <w:rFonts w:ascii="黑体" w:hAnsi="黑体" w:eastAsia="黑体" w:cs="宋体"/>
      <w:color w:val="000000"/>
      <w:kern w:val="0"/>
      <w:sz w:val="30"/>
      <w:szCs w:val="30"/>
    </w:rPr>
  </w:style>
  <w:style w:type="paragraph" w:styleId="3">
    <w:name w:val="heading 2"/>
    <w:basedOn w:val="1"/>
    <w:next w:val="1"/>
    <w:link w:val="33"/>
    <w:qFormat/>
    <w:uiPriority w:val="9"/>
    <w:pPr>
      <w:keepNext/>
      <w:keepLines/>
      <w:spacing w:before="260" w:after="260" w:line="416" w:lineRule="auto"/>
      <w:outlineLvl w:val="1"/>
    </w:pPr>
    <w:rPr>
      <w:rFonts w:ascii="Cambria" w:hAnsi="Cambria" w:eastAsia="宋体" w:cs="Times New Roman"/>
      <w:b/>
      <w:bCs/>
      <w:sz w:val="32"/>
      <w:szCs w:val="32"/>
    </w:rPr>
  </w:style>
  <w:style w:type="paragraph" w:styleId="4">
    <w:name w:val="heading 3"/>
    <w:basedOn w:val="1"/>
    <w:next w:val="1"/>
    <w:link w:val="34"/>
    <w:qFormat/>
    <w:uiPriority w:val="9"/>
    <w:pPr>
      <w:ind w:right="300"/>
      <w:outlineLvl w:val="2"/>
    </w:pPr>
    <w:rPr>
      <w:rFonts w:ascii="仿宋_GB2312" w:hAnsi="Calibri" w:eastAsia="仿宋_GB2312" w:cs="Times New Roman"/>
      <w:sz w:val="30"/>
      <w:szCs w:val="30"/>
    </w:rPr>
  </w:style>
  <w:style w:type="character" w:default="1" w:styleId="13">
    <w:name w:val="Default Paragraph Font"/>
    <w:unhideWhenUsed/>
    <w:uiPriority w:val="1"/>
  </w:style>
  <w:style w:type="table" w:default="1" w:styleId="17">
    <w:name w:val="Normal Table"/>
    <w:unhideWhenUsed/>
    <w:qFormat/>
    <w:uiPriority w:val="99"/>
    <w:tblPr>
      <w:tblStyle w:val="17"/>
      <w:tblLayout w:type="fixed"/>
      <w:tblCellMar>
        <w:top w:w="0" w:type="dxa"/>
        <w:left w:w="108" w:type="dxa"/>
        <w:bottom w:w="0" w:type="dxa"/>
        <w:right w:w="108" w:type="dxa"/>
      </w:tblCellMar>
    </w:tblPr>
    <w:tcPr>
      <w:textDirection w:val="lrTb"/>
    </w:tcPr>
  </w:style>
  <w:style w:type="paragraph" w:styleId="5">
    <w:name w:val="Document Map"/>
    <w:basedOn w:val="1"/>
    <w:link w:val="38"/>
    <w:unhideWhenUsed/>
    <w:qFormat/>
    <w:uiPriority w:val="0"/>
    <w:rPr>
      <w:rFonts w:ascii="宋体"/>
      <w:sz w:val="18"/>
      <w:szCs w:val="18"/>
    </w:rPr>
  </w:style>
  <w:style w:type="paragraph" w:styleId="6">
    <w:name w:val="annotation text"/>
    <w:basedOn w:val="1"/>
    <w:link w:val="31"/>
    <w:unhideWhenUsed/>
    <w:qFormat/>
    <w:uiPriority w:val="99"/>
    <w:pPr>
      <w:jc w:val="left"/>
    </w:pPr>
    <w:rPr>
      <w:rFonts w:ascii="Calibri" w:hAnsi="Calibri" w:eastAsia="宋体" w:cs="Times New Roman"/>
    </w:rPr>
  </w:style>
  <w:style w:type="paragraph" w:styleId="7">
    <w:name w:val="Balloon Text"/>
    <w:basedOn w:val="1"/>
    <w:link w:val="29"/>
    <w:unhideWhenUsed/>
    <w:uiPriority w:val="0"/>
    <w:rPr>
      <w:sz w:val="18"/>
      <w:szCs w:val="18"/>
    </w:rPr>
  </w:style>
  <w:style w:type="paragraph" w:styleId="8">
    <w:name w:val="footer"/>
    <w:basedOn w:val="1"/>
    <w:link w:val="28"/>
    <w:unhideWhenUsed/>
    <w:qFormat/>
    <w:uiPriority w:val="99"/>
    <w:pPr>
      <w:tabs>
        <w:tab w:val="center" w:pos="4153"/>
        <w:tab w:val="right" w:pos="8306"/>
      </w:tabs>
      <w:snapToGrid w:val="0"/>
      <w:jc w:val="left"/>
    </w:pPr>
    <w:rPr>
      <w:sz w:val="18"/>
      <w:szCs w:val="18"/>
    </w:rPr>
  </w:style>
  <w:style w:type="paragraph" w:styleId="9">
    <w:name w:val="header"/>
    <w:basedOn w:val="1"/>
    <w:link w:val="27"/>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footnote text"/>
    <w:basedOn w:val="1"/>
    <w:link w:val="36"/>
    <w:semiHidden/>
    <w:qFormat/>
    <w:uiPriority w:val="0"/>
    <w:pPr>
      <w:snapToGrid w:val="0"/>
      <w:jc w:val="left"/>
    </w:pPr>
    <w:rPr>
      <w:rFonts w:ascii="Times New Roman" w:hAnsi="Times New Roman"/>
      <w:sz w:val="18"/>
      <w:szCs w:val="18"/>
    </w:rPr>
  </w:style>
  <w:style w:type="paragraph" w:styleId="11">
    <w:name w:val="HTML Preformatted"/>
    <w:basedOn w:val="1"/>
    <w:link w:val="30"/>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12">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4">
    <w:name w:val="Hyperlink"/>
    <w:basedOn w:val="13"/>
    <w:unhideWhenUsed/>
    <w:qFormat/>
    <w:uiPriority w:val="99"/>
    <w:rPr>
      <w:rFonts w:hint="default" w:ascii="ˎ̥" w:hAnsi="ˎ̥"/>
      <w:color w:val="0453CC"/>
      <w:sz w:val="20"/>
      <w:szCs w:val="20"/>
      <w:u w:val="none"/>
    </w:rPr>
  </w:style>
  <w:style w:type="character" w:styleId="15">
    <w:name w:val="annotation reference"/>
    <w:basedOn w:val="13"/>
    <w:unhideWhenUsed/>
    <w:qFormat/>
    <w:uiPriority w:val="0"/>
    <w:rPr>
      <w:sz w:val="21"/>
      <w:szCs w:val="21"/>
    </w:rPr>
  </w:style>
  <w:style w:type="character" w:styleId="16">
    <w:name w:val="footnote reference"/>
    <w:unhideWhenUsed/>
    <w:qFormat/>
    <w:uiPriority w:val="0"/>
    <w:rPr>
      <w:rFonts w:ascii="Times New Roman" w:hAnsi="Times New Roman" w:cs="Times New Roman"/>
      <w:vertAlign w:val="superscript"/>
    </w:rPr>
  </w:style>
  <w:style w:type="table" w:styleId="18">
    <w:name w:val="Table Grid"/>
    <w:basedOn w:val="17"/>
    <w:qFormat/>
    <w:uiPriority w:val="59"/>
    <w:pPr/>
    <w:tblPr>
      <w:tblStyle w:val="17"/>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cPr>
      <w:textDirection w:val="lrTb"/>
    </w:tcPr>
  </w:style>
  <w:style w:type="paragraph" w:customStyle="1" w:styleId="19">
    <w:name w:val="List Paragraph"/>
    <w:basedOn w:val="1"/>
    <w:qFormat/>
    <w:uiPriority w:val="34"/>
    <w:pPr>
      <w:ind w:firstLine="420" w:firstLineChars="200"/>
    </w:pPr>
  </w:style>
  <w:style w:type="paragraph" w:customStyle="1" w:styleId="20">
    <w:name w:val="Default"/>
    <w:qFormat/>
    <w:uiPriority w:val="99"/>
    <w:pPr>
      <w:widowControl w:val="0"/>
      <w:autoSpaceDE w:val="0"/>
      <w:autoSpaceDN w:val="0"/>
      <w:adjustRightInd w:val="0"/>
    </w:pPr>
    <w:rPr>
      <w:rFonts w:ascii="仿宋_GB2312" w:hAnsi="Calibri" w:eastAsia="仿宋_GB2312" w:cs="仿宋_GB2312"/>
      <w:color w:val="000000"/>
      <w:kern w:val="0"/>
      <w:sz w:val="24"/>
      <w:szCs w:val="24"/>
      <w:lang w:val="en-US" w:eastAsia="zh-CN" w:bidi="ar-SA"/>
    </w:rPr>
  </w:style>
  <w:style w:type="paragraph" w:customStyle="1" w:styleId="21">
    <w:name w:val="juzhong"/>
    <w:basedOn w:val="1"/>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22">
    <w:name w:val="Revision"/>
    <w:hidden/>
    <w:semiHidden/>
    <w:qFormat/>
    <w:uiPriority w:val="99"/>
    <w:rPr>
      <w:rFonts w:ascii="Calibri" w:hAnsi="Calibri" w:eastAsia="宋体" w:cs="黑体"/>
      <w:kern w:val="2"/>
      <w:sz w:val="21"/>
      <w:szCs w:val="22"/>
      <w:lang w:val="en-US" w:eastAsia="zh-CN" w:bidi="ar-SA"/>
    </w:rPr>
  </w:style>
  <w:style w:type="paragraph" w:customStyle="1" w:styleId="23">
    <w:name w:val="列出段落1"/>
    <w:basedOn w:val="1"/>
    <w:qFormat/>
    <w:uiPriority w:val="34"/>
    <w:pPr>
      <w:ind w:firstLine="420" w:firstLineChars="200"/>
    </w:pPr>
    <w:rPr>
      <w:rFonts w:ascii="Calibri" w:hAnsi="Calibri" w:eastAsia="宋体" w:cs="Times New Roman"/>
    </w:rPr>
  </w:style>
  <w:style w:type="paragraph" w:customStyle="1" w:styleId="24">
    <w:name w:val="列出段落4"/>
    <w:basedOn w:val="1"/>
    <w:qFormat/>
    <w:uiPriority w:val="0"/>
    <w:pPr>
      <w:ind w:firstLine="200" w:firstLineChars="200"/>
    </w:pPr>
    <w:rPr>
      <w:rFonts w:ascii="Calibri" w:hAnsi="Calibri" w:eastAsia="宋体" w:cs="Times New Roman"/>
    </w:rPr>
  </w:style>
  <w:style w:type="paragraph" w:customStyle="1" w:styleId="25">
    <w:name w:val="列出段落3"/>
    <w:basedOn w:val="1"/>
    <w:qFormat/>
    <w:uiPriority w:val="0"/>
    <w:pPr>
      <w:ind w:firstLine="420" w:firstLineChars="200"/>
    </w:pPr>
    <w:rPr>
      <w:rFonts w:ascii="Times New Roman" w:hAnsi="Times New Roman" w:eastAsia="宋体" w:cs="Times New Roman"/>
      <w:szCs w:val="24"/>
    </w:rPr>
  </w:style>
  <w:style w:type="paragraph" w:customStyle="1" w:styleId="26">
    <w:name w:val="p0"/>
    <w:basedOn w:val="1"/>
    <w:qFormat/>
    <w:uiPriority w:val="0"/>
    <w:pPr>
      <w:widowControl/>
    </w:pPr>
    <w:rPr>
      <w:rFonts w:ascii="Calibri" w:hAnsi="Calibri" w:eastAsia="宋体" w:cs="宋体"/>
      <w:kern w:val="0"/>
      <w:szCs w:val="21"/>
    </w:rPr>
  </w:style>
  <w:style w:type="character" w:customStyle="1" w:styleId="27">
    <w:name w:val="页眉 Char"/>
    <w:basedOn w:val="13"/>
    <w:link w:val="9"/>
    <w:qFormat/>
    <w:uiPriority w:val="99"/>
    <w:rPr>
      <w:sz w:val="18"/>
      <w:szCs w:val="18"/>
    </w:rPr>
  </w:style>
  <w:style w:type="character" w:customStyle="1" w:styleId="28">
    <w:name w:val="页脚 Char"/>
    <w:basedOn w:val="13"/>
    <w:link w:val="8"/>
    <w:qFormat/>
    <w:uiPriority w:val="99"/>
    <w:rPr>
      <w:sz w:val="18"/>
      <w:szCs w:val="18"/>
    </w:rPr>
  </w:style>
  <w:style w:type="character" w:customStyle="1" w:styleId="29">
    <w:name w:val="批注框文本 Char"/>
    <w:basedOn w:val="13"/>
    <w:link w:val="7"/>
    <w:semiHidden/>
    <w:qFormat/>
    <w:uiPriority w:val="0"/>
    <w:rPr>
      <w:sz w:val="18"/>
      <w:szCs w:val="18"/>
    </w:rPr>
  </w:style>
  <w:style w:type="character" w:customStyle="1" w:styleId="30">
    <w:name w:val="HTML 预设格式 Char"/>
    <w:basedOn w:val="13"/>
    <w:link w:val="11"/>
    <w:qFormat/>
    <w:uiPriority w:val="99"/>
    <w:rPr>
      <w:rFonts w:ascii="宋体" w:hAnsi="宋体" w:eastAsia="宋体" w:cs="宋体"/>
      <w:kern w:val="0"/>
      <w:sz w:val="24"/>
      <w:szCs w:val="24"/>
    </w:rPr>
  </w:style>
  <w:style w:type="character" w:customStyle="1" w:styleId="31">
    <w:name w:val="批注文字 Char"/>
    <w:basedOn w:val="13"/>
    <w:link w:val="6"/>
    <w:semiHidden/>
    <w:qFormat/>
    <w:uiPriority w:val="0"/>
    <w:rPr>
      <w:rFonts w:ascii="Calibri" w:hAnsi="Calibri" w:eastAsia="宋体" w:cs="Times New Roman"/>
    </w:rPr>
  </w:style>
  <w:style w:type="character" w:customStyle="1" w:styleId="32">
    <w:name w:val="标题 1 Char"/>
    <w:basedOn w:val="13"/>
    <w:link w:val="2"/>
    <w:qFormat/>
    <w:uiPriority w:val="9"/>
    <w:rPr>
      <w:rFonts w:ascii="黑体" w:hAnsi="黑体" w:eastAsia="黑体" w:cs="宋体"/>
      <w:color w:val="000000"/>
      <w:kern w:val="0"/>
      <w:sz w:val="30"/>
      <w:szCs w:val="30"/>
    </w:rPr>
  </w:style>
  <w:style w:type="character" w:customStyle="1" w:styleId="33">
    <w:name w:val="标题 2 Char"/>
    <w:basedOn w:val="13"/>
    <w:link w:val="3"/>
    <w:qFormat/>
    <w:uiPriority w:val="0"/>
    <w:rPr>
      <w:rFonts w:ascii="Cambria" w:hAnsi="Cambria" w:eastAsia="宋体" w:cs="Times New Roman"/>
      <w:b/>
      <w:bCs/>
      <w:sz w:val="32"/>
      <w:szCs w:val="32"/>
    </w:rPr>
  </w:style>
  <w:style w:type="character" w:customStyle="1" w:styleId="34">
    <w:name w:val="标题 3 Char"/>
    <w:basedOn w:val="13"/>
    <w:link w:val="4"/>
    <w:qFormat/>
    <w:uiPriority w:val="9"/>
    <w:rPr>
      <w:rFonts w:ascii="仿宋_GB2312" w:hAnsi="Calibri" w:eastAsia="仿宋_GB2312" w:cs="Times New Roman"/>
      <w:sz w:val="30"/>
      <w:szCs w:val="30"/>
    </w:rPr>
  </w:style>
  <w:style w:type="character" w:customStyle="1" w:styleId="35">
    <w:name w:val="脚注文本 Char"/>
    <w:basedOn w:val="13"/>
    <w:semiHidden/>
    <w:qFormat/>
    <w:uiPriority w:val="99"/>
    <w:rPr>
      <w:kern w:val="2"/>
      <w:sz w:val="18"/>
      <w:szCs w:val="18"/>
    </w:rPr>
  </w:style>
  <w:style w:type="character" w:customStyle="1" w:styleId="36">
    <w:name w:val="脚注文本 Char1"/>
    <w:basedOn w:val="13"/>
    <w:link w:val="10"/>
    <w:semiHidden/>
    <w:qFormat/>
    <w:uiPriority w:val="0"/>
    <w:rPr>
      <w:rFonts w:ascii="Times New Roman" w:hAnsi="Times New Roman"/>
      <w:sz w:val="18"/>
      <w:szCs w:val="18"/>
    </w:rPr>
  </w:style>
  <w:style w:type="character" w:customStyle="1" w:styleId="37">
    <w:name w:val="标题 4 Char Char"/>
    <w:qFormat/>
    <w:uiPriority w:val="0"/>
    <w:rPr>
      <w:rFonts w:ascii="Calibri" w:hAnsi="Calibri"/>
      <w:b/>
      <w:bCs/>
      <w:sz w:val="28"/>
      <w:szCs w:val="28"/>
      <w:lang w:eastAsia="en-US" w:bidi="en-US"/>
    </w:rPr>
  </w:style>
  <w:style w:type="character" w:customStyle="1" w:styleId="38">
    <w:name w:val="文档结构图 Char"/>
    <w:basedOn w:val="13"/>
    <w:link w:val="5"/>
    <w:qFormat/>
    <w:uiPriority w:val="0"/>
    <w:rPr>
      <w:rFonts w:ascii="宋体"/>
      <w:sz w:val="18"/>
      <w:szCs w:val="18"/>
    </w:rPr>
  </w:style>
  <w:style w:type="character" w:customStyle="1" w:styleId="39">
    <w:name w:val="批注文字 Char1"/>
    <w:basedOn w:val="13"/>
    <w:semiHidden/>
    <w:qFormat/>
    <w:uiPriority w:val="99"/>
    <w:rPr>
      <w:kern w:val="2"/>
      <w:sz w:val="21"/>
      <w:szCs w:val="22"/>
    </w:rPr>
  </w:style>
  <w:style w:type="character" w:customStyle="1" w:styleId="40">
    <w:name w:val="Intense Emphasis"/>
    <w:basedOn w:val="13"/>
    <w:qFormat/>
    <w:uiPriority w:val="21"/>
    <w:rPr>
      <w:b/>
      <w:bCs/>
      <w:i/>
      <w:iCs/>
      <w:color w:val="4F81BD"/>
    </w:rPr>
  </w:style>
  <w:style w:type="character" w:customStyle="1" w:styleId="41">
    <w:name w:val="文档结构图 Char1"/>
    <w:basedOn w:val="13"/>
    <w:semiHidden/>
    <w:qFormat/>
    <w:uiPriority w:val="99"/>
    <w:rPr>
      <w:rFonts w:ascii="宋体" w:eastAsia="宋体"/>
      <w:sz w:val="18"/>
      <w:szCs w:val="18"/>
    </w:rPr>
  </w:style>
  <w:style w:type="character" w:customStyle="1" w:styleId="42">
    <w:name w:val="脚注文本 Char2"/>
    <w:basedOn w:val="13"/>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272</Words>
  <Characters>1552</Characters>
  <Lines>12</Lines>
  <Paragraphs>3</Paragraphs>
  <ScaleCrop>false</ScaleCrop>
  <LinksUpToDate>false</LinksUpToDate>
  <CharactersWithSpaces>0</CharactersWithSpaces>
  <Application>WPS Office 专业版_9.1.0.5019_F1E327BC-269C-435d-A152-05C5408002CA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2020-03-18T05:48:00Z</dcterms:created>
  <dc:creator>裴建君2</dc:creator>
  <cp:lastModifiedBy>陈炅炜</cp:lastModifiedBy>
  <cp:lastPrinted>2020-07-02T09:04:00Z</cp:lastPrinted>
  <dcterms:modified xsi:type="dcterms:W3CDTF">2023-08-18T08:00:56Z</dcterms:modified>
  <dc:title>             </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2052-9.1.0.5019</vt:lpwstr>
  </property>
</Properties>
</file>