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融资租赁对外债权登记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四、融资租赁对外债权登记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2.《国家外汇管理局关于进一步改进和调整资本项目外汇管理政策的通知》（汇发〔2014〕2号）。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（四）审批数量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无数量限制。</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2.融资租赁类公司或其项目公司开展对外融资租赁业务时，应在融资租赁对外债权发生后15个工作日内，到所在地外汇局办理融资租赁对外债权登记。</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3.禁止性要求：如符合上述条件，不存在不予许可的情况。</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tbl>
      <w:tblPr>
        <w:tblStyle w:val="17"/>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上年度经审计的财务报告及最近一期财务报表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（七）申请接受</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r>
        <w:rPr>
          <w:rFonts w:hint="eastAsia" w:ascii="Times New Roman" w:hAnsi="Times New Roman" w:eastAsia="仿宋_GB2312" w:cs="Times New Roman"/>
          <w:sz w:val="30"/>
          <w:szCs w:val="30"/>
          <w:lang w:eastAsia="zh-CN"/>
        </w:rPr>
        <w:t>。</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（八）基本办理流程</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ind w:firstLine="590"/>
        <w:rPr>
          <w:rFonts w:ascii="Times New Roman" w:hAnsi="Times New Roman" w:eastAsia="黑体" w:cs="Times New Roman"/>
          <w:sz w:val="30"/>
          <w:szCs w:val="30"/>
        </w:rPr>
      </w:pP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bookmarkStart w:id="0" w:name="_GoBack"/>
      <w:bookmarkEnd w:id="0"/>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15" o:spid="_x0000_s1026" style="position:absolute;left:0;margin-left:-11.65pt;margin-top:15.1pt;height:586.05pt;width:446.05pt;rotation:0f;z-index:251658240;" coordorigin="0,0" coordsize="8921,11721">
            <o:lock v:ext="edit" position="f" selection="f" grouping="f" rotation="f" cropping="f" text="f" aspectratio="f"/>
            <v:rect id="Rectangle 1116"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17"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18"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0"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1"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2"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23"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24" o:spid="_x0000_s1035" style="position:absolute;left:0;top:0;height:7693;width:8921;rotation:0f;" coordorigin="0,0" coordsize="8921,7693">
              <o:lock v:ext="edit" position="f" selection="f" grouping="f" rotation="f" cropping="f" text="f" aspectratio="f"/>
              <v:shape id="AutoShape 1125"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26" o:spid="_x0000_s1037" style="position:absolute;left:0;top:0;height:7693;width:8921;rotation:0f;" coordorigin="0,0" coordsize="8921,7693">
                <o:lock v:ext="edit" position="f" selection="f" grouping="f" rotation="f" cropping="f" text="f" aspectratio="f"/>
                <v:shape id="AutoShape 1127"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28"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29"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30"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31"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32"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33"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34"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35" o:spid="_x0000_s1046" style="position:absolute;left:0;top:0;height:7424;width:4594;rotation:0f;" coordorigin="0,0" coordsize="4594,7424">
                  <o:lock v:ext="edit" position="f" selection="f" grouping="f" rotation="f" cropping="f" text="f" aspectratio="f"/>
                  <v:shape id="AutoShape 1136"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37"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38" o:spid="_x0000_s1049" style="position:absolute;left:0;top:0;height:3986;width:3629;rotation:0f;" coordorigin="0,0" coordsize="3629,3986">
                    <o:lock v:ext="edit" position="f" selection="f" grouping="f" rotation="f" cropping="f" text="f" aspectratio="f"/>
                    <v:shape id="AutoShape 1139"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0"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1"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42"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43"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4"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5"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46"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47"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48"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问：融资租赁类公司开展对外融资租赁业务时，是否有额度限制？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答：融资租赁类公司开展对外融资租赁业务时，不受现行境内企业境外放款额度限制。</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19501B94"/>
    <w:rsid w:val="28A450B9"/>
    <w:rsid w:val="28CD724A"/>
    <w:rsid w:val="29680459"/>
    <w:rsid w:val="2BA769AB"/>
    <w:rsid w:val="3AFB1ED1"/>
    <w:rsid w:val="459E4321"/>
    <w:rsid w:val="4CDF3C6F"/>
    <w:rsid w:val="4F0B2B4B"/>
    <w:rsid w:val="5EB65015"/>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19"/>
        <o:r id="V:Rule2" type="connector" idref="#AutoShape 1120"/>
        <o:r id="V:Rule3" type="connector" idref="#AutoShape 1121"/>
        <o:r id="V:Rule4" type="connector" idref="#AutoShape 1122"/>
        <o:r id="V:Rule5" type="connector" idref="#AutoShape 1123"/>
        <o:r id="V:Rule6" type="connector" idref="#AutoShape 1125"/>
        <o:r id="V:Rule7" type="connector" idref="#AutoShape 1127"/>
        <o:r id="V:Rule8" type="connector" idref="#AutoShape 1129"/>
        <o:r id="V:Rule9" type="connector" idref="#AutoShape 1136"/>
        <o:r id="V:Rule10" type="connector" idref="#AutoShape 1137"/>
        <o:r id="V:Rule11" type="connector" idref="#AutoShape 1139"/>
        <o:r id="V:Rule12" type="connector" idref="#AutoShape 1140"/>
        <o:r id="V:Rule13" type="connector" idref="#AutoShape 1143"/>
        <o:r id="V:Rule14" type="connector" idref="#AutoShape 1144"/>
        <o:r id="V:Rule15" type="connector" idref="#AutoShape 1145"/>
        <o:r id="V:Rule16" type="connector" idref="#AutoShape 114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274</Words>
  <Characters>1562</Characters>
  <Lines>13</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2020-03-17T07:54:00Z</dcterms:created>
  <dc:creator>裴建君2</dc:creator>
  <cp:lastModifiedBy>陈炅炜</cp:lastModifiedBy>
  <cp:lastPrinted>2017-11-24T00:22:00Z</cp:lastPrinted>
  <dcterms:modified xsi:type="dcterms:W3CDTF">2023-08-18T08:18:42Z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