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imes New Roman" w:hAnsi="Times New Roman" w:eastAsia="黑体" w:cs="Times New Roman"/>
          <w:sz w:val="48"/>
          <w:szCs w:val="48"/>
        </w:rPr>
      </w:pPr>
      <w:r>
        <w:rPr>
          <w:rFonts w:hint="eastAsia" w:ascii="Times New Roman" w:hAnsi="Times New Roman" w:eastAsia="黑体" w:cs="Times New Roman"/>
          <w:sz w:val="48"/>
          <w:szCs w:val="48"/>
        </w:rPr>
        <w:t xml:space="preserve">             </w: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w:t>
      </w:r>
      <w:r>
        <w:rPr>
          <w:rFonts w:hint="eastAsia" w:ascii="Times New Roman" w:hAnsi="Times New Roman" w:eastAsia="黑体" w:cs="Times New Roman"/>
          <w:sz w:val="52"/>
          <w:szCs w:val="52"/>
        </w:rPr>
        <w:t>非银行债务人非资金划转类提款、还本付息备案</w:t>
      </w:r>
      <w:r>
        <w:rPr>
          <w:rFonts w:ascii="Times New Roman" w:hAnsi="Times New Roman" w:eastAsia="黑体" w:cs="Times New Roman"/>
          <w:sz w:val="52"/>
          <w:szCs w:val="52"/>
        </w:rPr>
        <w:t>” 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发布机构：</w:t>
      </w:r>
      <w:r>
        <w:rPr>
          <w:rFonts w:hint="eastAsia" w:ascii="Times New Roman" w:hAnsi="Times New Roman" w:eastAsia="仿宋_GB2312" w:cs="Times New Roman"/>
          <w:sz w:val="32"/>
          <w:szCs w:val="32"/>
        </w:rPr>
        <w:t>国家外汇管理局陕西省分局</w:t>
      </w:r>
    </w:p>
    <w:p>
      <w:pPr>
        <w:ind w:right="300"/>
        <w:jc w:val="center"/>
        <w:rPr>
          <w:rFonts w:hint="eastAsia" w:ascii="Times New Roman" w:hAnsi="Times New Roman" w:eastAsia="仿宋_GB2312" w:cs="Times New Roman"/>
          <w:sz w:val="30"/>
          <w:szCs w:val="30"/>
        </w:rPr>
      </w:pPr>
    </w:p>
    <w:p>
      <w:pPr>
        <w:ind w:right="300"/>
        <w:jc w:val="both"/>
        <w:rPr>
          <w:rFonts w:hint="eastAsia" w:ascii="Times New Roman" w:hAnsi="Times New Roman" w:eastAsia="仿宋_GB2312" w:cs="Times New Roman"/>
          <w:sz w:val="30"/>
          <w:szCs w:val="30"/>
        </w:rPr>
      </w:pPr>
    </w:p>
    <w:p>
      <w:pPr>
        <w:pStyle w:val="20"/>
        <w:adjustRightInd w:val="0"/>
        <w:snapToGrid w:val="0"/>
        <w:spacing w:line="360" w:lineRule="auto"/>
        <w:ind w:firstLine="0" w:firstLineChars="0"/>
        <w:outlineLvl w:val="0"/>
        <w:rPr>
          <w:rFonts w:ascii="Times New Roman" w:hAnsi="Times New Roman" w:eastAsia="黑体"/>
          <w:sz w:val="30"/>
          <w:szCs w:val="30"/>
        </w:rPr>
      </w:pPr>
      <w:r>
        <w:rPr>
          <w:rFonts w:ascii="Times New Roman" w:hAnsi="Times New Roman" w:eastAsia="黑体"/>
          <w:sz w:val="30"/>
          <w:szCs w:val="30"/>
        </w:rPr>
        <w:t xml:space="preserve">    一、项目信息</w:t>
      </w:r>
    </w:p>
    <w:p>
      <w:pPr>
        <w:pStyle w:val="2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项目名称：境内机构外债、对外或有负债</w:t>
      </w:r>
      <w:r>
        <w:rPr>
          <w:rFonts w:hint="eastAsia" w:ascii="Times New Roman" w:hAnsi="Times New Roman" w:eastAsia="仿宋_GB2312"/>
          <w:sz w:val="30"/>
          <w:szCs w:val="30"/>
        </w:rPr>
        <w:t>、外债转贷款</w:t>
      </w:r>
      <w:r>
        <w:rPr>
          <w:rFonts w:ascii="Times New Roman" w:hAnsi="Times New Roman" w:eastAsia="仿宋_GB2312"/>
          <w:sz w:val="30"/>
          <w:szCs w:val="30"/>
        </w:rPr>
        <w:t>审批、登记及履约核准；</w:t>
      </w:r>
    </w:p>
    <w:p>
      <w:pPr>
        <w:pStyle w:val="2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项目编号：57006；</w:t>
      </w:r>
    </w:p>
    <w:p>
      <w:pPr>
        <w:pStyle w:val="2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审批类别：行政许可；</w:t>
      </w:r>
    </w:p>
    <w:p>
      <w:pPr>
        <w:pStyle w:val="2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审查类型：前审后批。</w:t>
      </w:r>
    </w:p>
    <w:p>
      <w:pPr>
        <w:numPr>
          <w:ilvl w:val="0"/>
          <w:numId w:val="1"/>
        </w:num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适用范围</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仿宋_GB2312" w:cs="Times New Roman"/>
          <w:sz w:val="30"/>
          <w:szCs w:val="30"/>
        </w:rPr>
        <w:t xml:space="preserve">    本指南适用于“境内机构外债、对外或有负债</w:t>
      </w:r>
      <w:r>
        <w:rPr>
          <w:rFonts w:hint="eastAsia" w:ascii="Times New Roman" w:hAnsi="Times New Roman" w:eastAsia="仿宋_GB2312" w:cs="Times New Roman"/>
          <w:sz w:val="30"/>
          <w:szCs w:val="30"/>
        </w:rPr>
        <w:t>、外债转贷款</w:t>
      </w:r>
      <w:r>
        <w:rPr>
          <w:rFonts w:ascii="Times New Roman" w:hAnsi="Times New Roman" w:eastAsia="仿宋_GB2312" w:cs="Times New Roman"/>
          <w:sz w:val="30"/>
          <w:szCs w:val="30"/>
        </w:rPr>
        <w:t>审批、登记及履约核准”的申请和办理。</w:t>
      </w:r>
    </w:p>
    <w:p>
      <w:pPr>
        <w:numPr>
          <w:ilvl w:val="0"/>
          <w:numId w:val="2"/>
        </w:num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（一）《中华人民共和国外汇管理条例》（国务院令第532号）第十八条：“国家对外债实行规模管理。借用外债应当按照国家有关规定办理，并到外汇管理机关办理外债登记”；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中华人民共和国外汇管理条例》（国务院令第532号）第十九条：“提供对外担保，应当向外汇管理机关提出申请，由外汇管理机关根据申请人的资产负债等情况作出批准或者不批准的决定。申请人签订对外担保合同后，应到外汇管理机关办理对外担保登记。经国务院批准为使用外国政府或者国际金融组织贷款进行转贷提供对外担保的除外。国家规定境内机构的经营范围需经有关主管部门批准的，应当在向外汇管理机关提出申请前办理批准手续”；</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（三）《国务院对确需保留的行政审批项目设定行政许可的决定》（国务院令第412号）附件第471项“境内机构外债、外债转贷款、对外担保履约核准”；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（四）《国务院对确需保留的行政审批项目设定行政许可的决定》（国务院令第412号）附件第485项“境内外资金融机构短期外债核准”；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（五）《外债管理暂行办法》（国家发展计划委员会、财政部、国家外汇管理局令第28号）第十六条：“国家对境内中资机构举借短期国际商业贷款实行余额管理，余额由国家外汇管理局核定”。</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w:t>
      </w:r>
      <w:r>
        <w:rPr>
          <w:rFonts w:hint="eastAsia" w:ascii="Times New Roman" w:hAnsi="Times New Roman" w:eastAsia="黑体" w:cs="Times New Roman"/>
          <w:sz w:val="30"/>
          <w:szCs w:val="30"/>
        </w:rPr>
        <w:t>非银行债务人非资金划转类提款、还本付息备案</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2.《外债统计监测暂行规定》（1987年公布）。</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3.《国家外汇管理局关于发布〈外债登记管理办法〉的通知》（汇发〔2013〕19号）。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4.《中国人民银行关于全口径跨境融资宏观审慎管理有关事宜的通知》（银发〔2017〕9号）。</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（二）受理机构</w:t>
      </w:r>
    </w:p>
    <w:p>
      <w:pPr>
        <w:adjustRightInd w:val="0"/>
        <w:snapToGrid w:val="0"/>
        <w:spacing w:line="360" w:lineRule="auto"/>
        <w:ind w:firstLine="601"/>
        <w:rPr>
          <w:rFonts w:hint="eastAsia" w:ascii="Times New Roman" w:hAnsi="Times New Roman" w:eastAsia="仿宋_GB2312" w:cs="Times New Roman"/>
          <w:color w:val="auto"/>
          <w:sz w:val="30"/>
          <w:szCs w:val="30"/>
          <w:lang w:eastAsia="zh-CN"/>
        </w:rPr>
      </w:pPr>
      <w:r>
        <w:rPr>
          <w:rFonts w:ascii="Times New Roman" w:hAnsi="Times New Roman" w:eastAsia="仿宋_GB2312" w:cs="Times New Roman"/>
          <w:color w:val="auto"/>
          <w:sz w:val="30"/>
          <w:szCs w:val="30"/>
        </w:rPr>
        <w:t>国家外汇管理局</w:t>
      </w:r>
      <w:r>
        <w:rPr>
          <w:rFonts w:hint="eastAsia" w:ascii="Times New Roman" w:hAnsi="Times New Roman" w:eastAsia="仿宋_GB2312" w:cs="Times New Roman"/>
          <w:color w:val="auto"/>
          <w:sz w:val="30"/>
          <w:szCs w:val="30"/>
        </w:rPr>
        <w:t>陕西省分局</w:t>
      </w:r>
      <w:r>
        <w:rPr>
          <w:rFonts w:hint="eastAsia" w:ascii="Times New Roman" w:hAnsi="Times New Roman" w:eastAsia="仿宋_GB2312" w:cs="Times New Roman"/>
          <w:color w:val="auto"/>
          <w:sz w:val="30"/>
          <w:szCs w:val="30"/>
          <w:lang w:eastAsia="zh-CN"/>
        </w:rPr>
        <w:t>。</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仿宋_GB2312" w:cs="Times New Roman"/>
          <w:color w:val="auto"/>
          <w:sz w:val="30"/>
          <w:szCs w:val="30"/>
        </w:rPr>
        <w:t>国家外汇管理局</w:t>
      </w:r>
      <w:r>
        <w:rPr>
          <w:rFonts w:hint="eastAsia" w:ascii="Times New Roman" w:hAnsi="Times New Roman" w:eastAsia="仿宋_GB2312" w:cs="Times New Roman"/>
          <w:color w:val="auto"/>
          <w:sz w:val="30"/>
          <w:szCs w:val="30"/>
        </w:rPr>
        <w:t>陕西省分局</w:t>
      </w:r>
      <w:r>
        <w:rPr>
          <w:rFonts w:ascii="Times New Roman" w:hAnsi="Times New Roman" w:eastAsia="仿宋_GB2312" w:cs="Times New Roman"/>
          <w:sz w:val="30"/>
          <w:szCs w:val="30"/>
        </w:rPr>
        <w:t>。</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仿宋_GB2312" w:eastAsia="仿宋_GB2312" w:cs="Times New Roman"/>
          <w:sz w:val="30"/>
          <w:szCs w:val="30"/>
        </w:rPr>
        <w:t>无数量限制，按全口径跨境融资宏观审慎或</w:t>
      </w:r>
      <w:r>
        <w:rPr>
          <w:rFonts w:ascii="Times New Roman" w:hAnsi="Times New Roman" w:eastAsia="仿宋_GB2312" w:cs="Times New Roman"/>
          <w:sz w:val="30"/>
          <w:szCs w:val="30"/>
        </w:rPr>
        <w:t>“</w:t>
      </w:r>
      <w:r>
        <w:rPr>
          <w:rFonts w:ascii="Times New Roman" w:hAnsi="仿宋_GB2312" w:eastAsia="仿宋_GB2312" w:cs="Times New Roman"/>
          <w:sz w:val="30"/>
          <w:szCs w:val="30"/>
        </w:rPr>
        <w:t>投注差</w:t>
      </w:r>
      <w:r>
        <w:rPr>
          <w:rFonts w:ascii="Times New Roman" w:hAnsi="Times New Roman" w:eastAsia="仿宋_GB2312" w:cs="Times New Roman"/>
          <w:sz w:val="30"/>
          <w:szCs w:val="30"/>
        </w:rPr>
        <w:t>”</w:t>
      </w:r>
      <w:r>
        <w:rPr>
          <w:rFonts w:ascii="Times New Roman" w:hAnsi="仿宋_GB2312" w:eastAsia="仿宋_GB2312" w:cs="Times New Roman"/>
          <w:sz w:val="30"/>
          <w:szCs w:val="30"/>
        </w:rPr>
        <w:t>模式管理。</w:t>
      </w:r>
    </w:p>
    <w:p>
      <w:pPr>
        <w:adjustRightInd w:val="0"/>
        <w:snapToGrid w:val="0"/>
        <w:spacing w:line="360" w:lineRule="auto"/>
        <w:outlineLvl w:val="0"/>
        <w:rPr>
          <w:rFonts w:ascii="Times New Roman" w:hAnsi="Times New Roman" w:eastAsia="黑体" w:cs="Times New Roman"/>
          <w:sz w:val="30"/>
          <w:szCs w:val="30"/>
        </w:rPr>
      </w:pPr>
      <w:r>
        <w:rPr>
          <w:rFonts w:ascii="Times New Roman" w:hAnsi="Times New Roman" w:eastAsia="黑体" w:cs="Times New Roman"/>
          <w:sz w:val="30"/>
          <w:szCs w:val="30"/>
        </w:rPr>
        <w:t xml:space="preserve">    （五）办事条件</w:t>
      </w:r>
    </w:p>
    <w:p>
      <w:pPr>
        <w:pStyle w:val="17"/>
        <w:numPr>
          <w:ilvl w:val="0"/>
          <w:numId w:val="3"/>
        </w:numPr>
        <w:adjustRightInd w:val="0"/>
        <w:snapToGrid w:val="0"/>
        <w:spacing w:line="360" w:lineRule="auto"/>
        <w:ind w:firstLineChars="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非资金划转类提款</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还本付息是指非银行债务人外债余额发生变动，但无法向外汇局相关信息系统反馈外债提款</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还本付息信息的情形。</w:t>
      </w:r>
    </w:p>
    <w:p>
      <w:pPr>
        <w:pStyle w:val="17"/>
        <w:numPr>
          <w:ilvl w:val="0"/>
          <w:numId w:val="3"/>
        </w:numPr>
        <w:adjustRightInd w:val="0"/>
        <w:snapToGrid w:val="0"/>
        <w:spacing w:line="360" w:lineRule="auto"/>
        <w:ind w:firstLineChars="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非银行债务人发生非资金划转类提款/还本付息交易的，应在提款/还本付息之日起15个工作日内，到所在地外汇局逐笔办理备案。</w:t>
      </w:r>
    </w:p>
    <w:p>
      <w:pPr>
        <w:pStyle w:val="17"/>
        <w:numPr>
          <w:ilvl w:val="0"/>
          <w:numId w:val="3"/>
        </w:numPr>
        <w:adjustRightInd w:val="0"/>
        <w:snapToGrid w:val="0"/>
        <w:spacing w:line="360" w:lineRule="auto"/>
        <w:ind w:firstLine="600"/>
        <w:outlineLvl w:val="0"/>
        <w:rPr>
          <w:rFonts w:ascii="Times New Roman" w:hAnsi="Times New Roman" w:eastAsia="黑体" w:cs="Times New Roman"/>
          <w:sz w:val="30"/>
          <w:szCs w:val="30"/>
        </w:rPr>
      </w:pPr>
      <w:r>
        <w:rPr>
          <w:rFonts w:ascii="Times New Roman" w:hAnsi="Times New Roman" w:eastAsia="仿宋_GB2312" w:cs="Times New Roman"/>
          <w:sz w:val="30"/>
          <w:szCs w:val="30"/>
        </w:rPr>
        <w:t>禁止性要求：如符合上述条件，不存在不予许可的情况。</w:t>
      </w:r>
    </w:p>
    <w:p>
      <w:pPr>
        <w:pStyle w:val="17"/>
        <w:adjustRightInd w:val="0"/>
        <w:snapToGrid w:val="0"/>
        <w:spacing w:line="360" w:lineRule="auto"/>
        <w:ind w:left="600" w:firstLine="0" w:firstLineChars="0"/>
        <w:outlineLvl w:val="0"/>
        <w:rPr>
          <w:rFonts w:ascii="Times New Roman" w:hAnsi="Times New Roman" w:eastAsia="黑体" w:cs="Times New Roman"/>
          <w:sz w:val="30"/>
          <w:szCs w:val="30"/>
        </w:rPr>
      </w:pPr>
      <w:r>
        <w:rPr>
          <w:rFonts w:ascii="Times New Roman" w:hAnsi="Times New Roman" w:eastAsia="黑体" w:cs="Times New Roman"/>
          <w:sz w:val="30"/>
          <w:szCs w:val="30"/>
        </w:rPr>
        <w:t>（六）申请材料</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仿宋_GB2312" w:cs="Times New Roman"/>
          <w:sz w:val="30"/>
          <w:szCs w:val="30"/>
        </w:rPr>
        <w:t>1．</w:t>
      </w:r>
      <w:r>
        <w:rPr>
          <w:rFonts w:ascii="Times New Roman" w:hAnsi="Times New Roman" w:eastAsia="仿宋_GB2312" w:cs="Times New Roman"/>
          <w:kern w:val="0"/>
          <w:sz w:val="30"/>
          <w:szCs w:val="30"/>
        </w:rPr>
        <w:t>非银行债务人办理非资金划转类提款备案申请材料</w:t>
      </w:r>
    </w:p>
    <w:tbl>
      <w:tblPr>
        <w:tblStyle w:val="16"/>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
        <w:gridCol w:w="4254"/>
        <w:gridCol w:w="992"/>
        <w:gridCol w:w="567"/>
        <w:gridCol w:w="851"/>
        <w:gridCol w:w="567"/>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425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5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25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书面申请</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加盖公章的</w:t>
            </w: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53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425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kern w:val="0"/>
                <w:sz w:val="24"/>
                <w:szCs w:val="24"/>
              </w:rPr>
              <w:t>非银行债务人非资金划转类提款真实性证明材料</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widowControl/>
        <w:ind w:firstLine="300" w:firstLineChars="1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2.非银行债务人办理非资金划转类还本付息备案申请材料</w:t>
      </w:r>
    </w:p>
    <w:tbl>
      <w:tblPr>
        <w:tblStyle w:val="16"/>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6"/>
        <w:gridCol w:w="4702"/>
        <w:gridCol w:w="751"/>
        <w:gridCol w:w="487"/>
        <w:gridCol w:w="560"/>
        <w:gridCol w:w="487"/>
        <w:gridCol w:w="1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470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7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8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56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48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04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9" w:hRule="atLeast"/>
        </w:trPr>
        <w:tc>
          <w:tcPr>
            <w:tcW w:w="486" w:type="dxa"/>
            <w:tcBorders>
              <w:bottom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70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书面申请 </w:t>
            </w:r>
          </w:p>
        </w:tc>
        <w:tc>
          <w:tcPr>
            <w:tcW w:w="7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加盖公章的</w:t>
            </w:r>
            <w:r>
              <w:rPr>
                <w:rFonts w:ascii="Times New Roman" w:hAnsi="Times New Roman" w:eastAsia="仿宋_GB2312" w:cs="Times New Roman"/>
                <w:sz w:val="24"/>
                <w:szCs w:val="24"/>
              </w:rPr>
              <w:t>原件</w:t>
            </w:r>
          </w:p>
        </w:tc>
        <w:tc>
          <w:tcPr>
            <w:tcW w:w="4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56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87"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1049"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48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4702" w:type="dxa"/>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color w:val="000000"/>
                <w:kern w:val="0"/>
                <w:sz w:val="24"/>
                <w:szCs w:val="24"/>
              </w:rPr>
              <w:t>非银行债务人非资金划转类还本付息真实性证明材料</w:t>
            </w:r>
          </w:p>
        </w:tc>
        <w:tc>
          <w:tcPr>
            <w:tcW w:w="7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56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87" w:type="dxa"/>
            <w:vAlign w:val="center"/>
          </w:tcPr>
          <w:p>
            <w:pPr>
              <w:jc w:val="left"/>
              <w:rPr>
                <w:rFonts w:ascii="Times New Roman" w:hAnsi="Times New Roman" w:eastAsia="仿宋_GB2312" w:cs="Times New Roman"/>
                <w:sz w:val="24"/>
                <w:szCs w:val="24"/>
              </w:rPr>
            </w:pPr>
          </w:p>
        </w:tc>
        <w:tc>
          <w:tcPr>
            <w:tcW w:w="1049" w:type="dxa"/>
            <w:vAlign w:val="center"/>
          </w:tcPr>
          <w:p>
            <w:pPr>
              <w:adjustRightInd w:val="0"/>
              <w:snapToGrid w:val="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spacing w:line="360" w:lineRule="auto"/>
        <w:ind w:firstLine="600" w:firstLineChars="200"/>
        <w:outlineLvl w:val="0"/>
        <w:rPr>
          <w:rFonts w:ascii="Times New Roman" w:hAnsi="Times New Roman" w:eastAsia="黑体" w:cs="Times New Roman"/>
          <w:sz w:val="30"/>
          <w:szCs w:val="30"/>
        </w:rPr>
      </w:pPr>
    </w:p>
    <w:p>
      <w:pPr>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w:t>
      </w:r>
      <w:r>
        <w:rPr>
          <w:rFonts w:ascii="Times New Roman" w:hAnsi="Times New Roman" w:eastAsia="仿宋_GB2312" w:cs="Times New Roman"/>
          <w:color w:val="auto"/>
          <w:sz w:val="30"/>
          <w:szCs w:val="30"/>
        </w:rPr>
        <w:t>国家外汇管理局</w:t>
      </w:r>
      <w:r>
        <w:rPr>
          <w:rFonts w:hint="eastAsia" w:ascii="Times New Roman" w:hAnsi="Times New Roman" w:eastAsia="仿宋_GB2312" w:cs="Times New Roman"/>
          <w:color w:val="auto"/>
          <w:sz w:val="30"/>
          <w:szCs w:val="30"/>
        </w:rPr>
        <w:t>陕西省分局</w:t>
      </w:r>
      <w:r>
        <w:rPr>
          <w:rFonts w:ascii="Times New Roman" w:hAnsi="Times New Roman" w:eastAsia="仿宋_GB2312" w:cs="Times New Roman"/>
          <w:sz w:val="30"/>
          <w:szCs w:val="30"/>
        </w:rPr>
        <w:t>业务窗口提交材料。</w:t>
      </w:r>
    </w:p>
    <w:p>
      <w:pPr>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ascii="Times New Roman" w:hAnsi="Times New Roman" w:eastAsia="仿宋_GB2312" w:cs="Times New Roman"/>
          <w:sz w:val="30"/>
          <w:szCs w:val="30"/>
        </w:rPr>
        <w:t>1.申请人提交申请；</w:t>
      </w:r>
    </w:p>
    <w:p>
      <w:pPr>
        <w:spacing w:line="360" w:lineRule="auto"/>
        <w:ind w:firstLine="900" w:firstLineChars="300"/>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spacing w:line="360" w:lineRule="auto"/>
        <w:ind w:firstLine="900" w:firstLineChars="300"/>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spacing w:line="360" w:lineRule="auto"/>
        <w:ind w:firstLine="900" w:firstLineChars="300"/>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spacing w:line="360" w:lineRule="auto"/>
        <w:ind w:firstLine="900" w:firstLineChars="300"/>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jc w:val="left"/>
        <w:outlineLvl w:val="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（十一）审批收费依据及标准</w:t>
      </w:r>
    </w:p>
    <w:p>
      <w:pPr>
        <w:adjustRightInd w:val="0"/>
        <w:snapToGrid w:val="0"/>
        <w:spacing w:line="360" w:lineRule="auto"/>
        <w:ind w:firstLine="585"/>
        <w:rPr>
          <w:rFonts w:ascii="Times New Roman" w:hAnsi="Times New Roman" w:eastAsia="仿宋_GB2312" w:cs="Times New Roman"/>
          <w:sz w:val="30"/>
        </w:rPr>
      </w:pPr>
      <w:r>
        <w:rPr>
          <w:rFonts w:ascii="Times New Roman" w:hAnsi="Times New Roman" w:eastAsia="仿宋_GB2312" w:cs="Times New Roman"/>
          <w:sz w:val="30"/>
        </w:rPr>
        <w:t>不收费。</w:t>
      </w:r>
    </w:p>
    <w:p>
      <w:p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（十二）审批结果</w:t>
      </w:r>
    </w:p>
    <w:p>
      <w:pPr>
        <w:adjustRightInd w:val="0"/>
        <w:snapToGrid w:val="0"/>
        <w:spacing w:line="360" w:lineRule="auto"/>
        <w:ind w:firstLine="585"/>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黑体" w:cs="Times New Roman"/>
          <w:sz w:val="30"/>
          <w:szCs w:val="30"/>
        </w:rPr>
        <w:t>（十五）咨询途径、监督和投诉、公开查询等由所在地分局办理</w:t>
      </w:r>
    </w:p>
    <w:p>
      <w:pPr>
        <w:adjustRightInd w:val="0"/>
        <w:snapToGrid w:val="0"/>
        <w:spacing w:line="360" w:lineRule="auto"/>
        <w:ind w:firstLine="6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向国家外汇管理局</w:t>
      </w:r>
      <w:r>
        <w:rPr>
          <w:rFonts w:hint="eastAsia" w:ascii="Times New Roman" w:hAnsi="Times New Roman" w:eastAsia="仿宋_GB2312" w:cs="Times New Roman"/>
          <w:color w:val="auto"/>
          <w:sz w:val="30"/>
          <w:szCs w:val="30"/>
        </w:rPr>
        <w:t>陕西省分局</w:t>
      </w:r>
      <w:r>
        <w:rPr>
          <w:rFonts w:ascii="Times New Roman" w:hAnsi="Times New Roman" w:eastAsia="仿宋_GB2312" w:cs="Times New Roman"/>
          <w:color w:val="auto"/>
          <w:sz w:val="30"/>
          <w:szCs w:val="30"/>
        </w:rPr>
        <w:t>咨询、</w:t>
      </w:r>
      <w:r>
        <w:rPr>
          <w:rFonts w:hint="eastAsia" w:ascii="Times New Roman" w:hAnsi="Times New Roman" w:eastAsia="仿宋_GB2312" w:cs="Times New Roman"/>
          <w:color w:val="auto"/>
          <w:sz w:val="30"/>
          <w:szCs w:val="30"/>
        </w:rPr>
        <w:t>进度查询、</w:t>
      </w:r>
      <w:r>
        <w:rPr>
          <w:rFonts w:ascii="Times New Roman" w:hAnsi="Times New Roman" w:eastAsia="仿宋_GB2312" w:cs="Times New Roman"/>
          <w:color w:val="auto"/>
          <w:sz w:val="30"/>
          <w:szCs w:val="30"/>
        </w:rPr>
        <w:t>监督</w:t>
      </w:r>
      <w:r>
        <w:rPr>
          <w:rFonts w:hint="eastAsia" w:ascii="Times New Roman" w:hAnsi="Times New Roman" w:eastAsia="仿宋_GB2312" w:cs="Times New Roman"/>
          <w:color w:val="auto"/>
          <w:sz w:val="30"/>
          <w:szCs w:val="30"/>
        </w:rPr>
        <w:t>和</w:t>
      </w:r>
      <w:r>
        <w:rPr>
          <w:rFonts w:ascii="Times New Roman" w:hAnsi="Times New Roman" w:eastAsia="仿宋_GB2312" w:cs="Times New Roman"/>
          <w:color w:val="auto"/>
          <w:sz w:val="30"/>
          <w:szCs w:val="30"/>
        </w:rPr>
        <w:t>投诉等可通过</w:t>
      </w:r>
      <w:r>
        <w:rPr>
          <w:rFonts w:hint="eastAsia" w:ascii="Times New Roman" w:hAnsi="Times New Roman" w:eastAsia="仿宋_GB2312" w:cs="Times New Roman"/>
          <w:color w:val="auto"/>
          <w:sz w:val="30"/>
          <w:szCs w:val="30"/>
        </w:rPr>
        <w:t>电话、</w:t>
      </w:r>
      <w:r>
        <w:rPr>
          <w:rFonts w:ascii="Times New Roman" w:hAnsi="Times New Roman" w:eastAsia="仿宋_GB2312" w:cs="Times New Roman"/>
          <w:color w:val="auto"/>
          <w:sz w:val="30"/>
          <w:szCs w:val="30"/>
        </w:rPr>
        <w:t>国家外汇管理局</w:t>
      </w:r>
      <w:r>
        <w:rPr>
          <w:rFonts w:hint="eastAsia" w:ascii="Times New Roman" w:hAnsi="Times New Roman" w:eastAsia="仿宋_GB2312" w:cs="Times New Roman"/>
          <w:color w:val="auto"/>
          <w:sz w:val="30"/>
          <w:szCs w:val="30"/>
        </w:rPr>
        <w:t>陕西省分局</w:t>
      </w:r>
      <w:r>
        <w:rPr>
          <w:rFonts w:ascii="Times New Roman" w:hAnsi="Times New Roman" w:eastAsia="仿宋_GB2312" w:cs="Times New Roman"/>
          <w:color w:val="auto"/>
          <w:sz w:val="30"/>
          <w:szCs w:val="30"/>
        </w:rPr>
        <w:t>官方互联网站</w:t>
      </w:r>
      <w:r>
        <w:rPr>
          <w:rFonts w:hint="eastAsia" w:ascii="Times New Roman" w:hAnsi="Times New Roman" w:eastAsia="仿宋_GB2312" w:cs="Times New Roman"/>
          <w:color w:val="auto"/>
          <w:sz w:val="30"/>
          <w:szCs w:val="30"/>
        </w:rPr>
        <w:t>咨询反馈</w:t>
      </w:r>
      <w:r>
        <w:rPr>
          <w:rFonts w:ascii="Times New Roman" w:hAnsi="Times New Roman" w:eastAsia="仿宋_GB2312" w:cs="Times New Roman"/>
          <w:color w:val="auto"/>
          <w:sz w:val="30"/>
          <w:szCs w:val="30"/>
        </w:rPr>
        <w:t>栏目进行。</w:t>
      </w:r>
    </w:p>
    <w:p>
      <w:pPr>
        <w:adjustRightInd w:val="0"/>
        <w:snapToGrid w:val="0"/>
        <w:spacing w:line="360" w:lineRule="auto"/>
        <w:ind w:firstLine="600"/>
        <w:rPr>
          <w:rFonts w:hint="default"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rPr>
        <w:t>电话：029-88</w:t>
      </w:r>
      <w:r>
        <w:rPr>
          <w:rFonts w:hint="eastAsia" w:ascii="Times New Roman" w:hAnsi="Times New Roman" w:eastAsia="仿宋_GB2312" w:cs="Times New Roman"/>
          <w:color w:val="auto"/>
          <w:sz w:val="30"/>
          <w:szCs w:val="30"/>
          <w:lang w:val="en-US" w:eastAsia="zh-CN"/>
        </w:rPr>
        <w:t>150978；029-88150690</w:t>
      </w:r>
    </w:p>
    <w:p>
      <w:pPr>
        <w:adjustRightInd w:val="0"/>
        <w:snapToGrid w:val="0"/>
        <w:spacing w:line="360" w:lineRule="auto"/>
        <w:ind w:firstLine="600"/>
        <w:rPr>
          <w:rFonts w:ascii="Times New Roman" w:hAnsi="Times New Roman" w:eastAsia="仿宋_GB2312" w:cs="Times New Roman"/>
          <w:color w:val="auto"/>
          <w:sz w:val="30"/>
        </w:rPr>
      </w:pPr>
      <w:r>
        <w:rPr>
          <w:rFonts w:hint="eastAsia" w:ascii="Times New Roman" w:hAnsi="Times New Roman" w:eastAsia="仿宋_GB2312" w:cs="Times New Roman"/>
          <w:color w:val="auto"/>
          <w:sz w:val="30"/>
          <w:szCs w:val="30"/>
        </w:rPr>
        <w:t>网址：</w:t>
      </w:r>
      <w:r>
        <w:rPr>
          <w:rFonts w:ascii="Calibri" w:hAnsi="Calibri" w:eastAsia="宋体" w:cs="黑体"/>
          <w:color w:val="auto"/>
        </w:rPr>
        <w:fldChar w:fldCharType="begin"/>
      </w:r>
      <w:r>
        <w:rPr>
          <w:rFonts w:ascii="Calibri" w:hAnsi="Calibri" w:eastAsia="宋体" w:cs="黑体"/>
          <w:color w:val="auto"/>
        </w:rPr>
        <w:instrText xml:space="preserve"> HYPERLINK "http://www.safe.gov.cn" </w:instrText>
      </w:r>
      <w:r>
        <w:rPr>
          <w:rFonts w:ascii="Calibri" w:hAnsi="Calibri" w:eastAsia="宋体" w:cs="黑体"/>
          <w:color w:val="auto"/>
        </w:rPr>
        <w:fldChar w:fldCharType="separate"/>
      </w:r>
      <w:r>
        <w:rPr>
          <w:rFonts w:ascii="Times New Roman" w:hAnsi="Times New Roman" w:eastAsia="仿宋_GB2312" w:cs="Times New Roman"/>
          <w:color w:val="auto"/>
          <w:sz w:val="30"/>
        </w:rPr>
        <w:t>www.safe.gov.cn</w:t>
      </w:r>
      <w:r>
        <w:rPr>
          <w:rFonts w:ascii="Times New Roman" w:hAnsi="Times New Roman" w:eastAsia="仿宋_GB2312" w:cs="Times New Roman"/>
          <w:color w:val="auto"/>
          <w:sz w:val="30"/>
        </w:rPr>
        <w:fldChar w:fldCharType="end"/>
      </w:r>
      <w:r>
        <w:rPr>
          <w:rFonts w:hint="eastAsia" w:ascii="Times New Roman" w:hAnsi="Times New Roman" w:eastAsia="仿宋_GB2312" w:cs="Times New Roman"/>
          <w:color w:val="auto"/>
          <w:sz w:val="30"/>
        </w:rPr>
        <w:t>/shaanxi</w:t>
      </w:r>
    </w:p>
    <w:p>
      <w:pPr>
        <w:adjustRightInd w:val="0"/>
        <w:snapToGrid w:val="0"/>
        <w:spacing w:line="360" w:lineRule="auto"/>
        <w:ind w:firstLine="600"/>
        <w:rPr>
          <w:rFonts w:hint="eastAsia" w:ascii="黑体" w:hAnsi="黑体" w:eastAsia="黑体" w:cs="黑体"/>
          <w:color w:val="auto"/>
          <w:sz w:val="30"/>
          <w:szCs w:val="30"/>
        </w:rPr>
      </w:pPr>
      <w:r>
        <w:rPr>
          <w:rFonts w:hint="eastAsia" w:ascii="黑体" w:hAnsi="黑体" w:eastAsia="黑体" w:cs="黑体"/>
          <w:color w:val="auto"/>
          <w:sz w:val="30"/>
          <w:szCs w:val="30"/>
        </w:rPr>
        <w:t>（十</w:t>
      </w:r>
      <w:r>
        <w:rPr>
          <w:rFonts w:hint="eastAsia" w:ascii="黑体" w:hAnsi="黑体" w:eastAsia="黑体" w:cs="黑体"/>
          <w:color w:val="auto"/>
          <w:sz w:val="30"/>
          <w:szCs w:val="30"/>
          <w:lang w:eastAsia="zh-CN"/>
        </w:rPr>
        <w:t>六</w:t>
      </w:r>
      <w:r>
        <w:rPr>
          <w:rFonts w:hint="eastAsia" w:ascii="黑体" w:hAnsi="黑体" w:eastAsia="黑体" w:cs="黑体"/>
          <w:color w:val="auto"/>
          <w:sz w:val="30"/>
          <w:szCs w:val="30"/>
        </w:rPr>
        <w:t>）办公地址和时间</w:t>
      </w:r>
    </w:p>
    <w:p>
      <w:pPr>
        <w:adjustRightInd w:val="0"/>
        <w:snapToGrid w:val="0"/>
        <w:spacing w:line="360" w:lineRule="auto"/>
        <w:ind w:firstLine="600"/>
        <w:rPr>
          <w:rFonts w:hint="eastAsia"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办公地址：西安市高新路49号，中国人民银行</w:t>
      </w:r>
      <w:r>
        <w:rPr>
          <w:rFonts w:hint="eastAsia" w:ascii="Times New Roman" w:hAnsi="Times New Roman" w:eastAsia="仿宋_GB2312" w:cs="Times New Roman"/>
          <w:color w:val="auto"/>
          <w:sz w:val="30"/>
          <w:szCs w:val="30"/>
          <w:lang w:eastAsia="zh-CN"/>
        </w:rPr>
        <w:t>陕西省</w:t>
      </w:r>
      <w:r>
        <w:rPr>
          <w:rFonts w:hint="eastAsia" w:ascii="Times New Roman" w:hAnsi="Times New Roman" w:eastAsia="仿宋_GB2312" w:cs="Times New Roman"/>
          <w:color w:val="auto"/>
          <w:sz w:val="30"/>
          <w:szCs w:val="30"/>
        </w:rPr>
        <w:t>分行</w:t>
      </w:r>
      <w:r>
        <w:rPr>
          <w:rFonts w:hint="eastAsia" w:ascii="Times New Roman" w:hAnsi="Times New Roman" w:eastAsia="仿宋_GB2312" w:cs="Times New Roman"/>
          <w:color w:val="auto"/>
          <w:sz w:val="30"/>
          <w:szCs w:val="30"/>
          <w:lang w:eastAsia="zh-CN"/>
        </w:rPr>
        <w:t>机关大楼</w:t>
      </w:r>
      <w:r>
        <w:rPr>
          <w:rFonts w:hint="eastAsia" w:ascii="Times New Roman" w:hAnsi="Times New Roman" w:eastAsia="仿宋_GB2312" w:cs="Times New Roman"/>
          <w:color w:val="auto"/>
          <w:sz w:val="30"/>
          <w:szCs w:val="30"/>
          <w:lang w:val="en-US" w:eastAsia="zh-CN"/>
        </w:rPr>
        <w:t>908</w:t>
      </w:r>
      <w:r>
        <w:rPr>
          <w:rFonts w:hint="eastAsia" w:ascii="Times New Roman" w:hAnsi="Times New Roman" w:eastAsia="仿宋_GB2312" w:cs="Times New Roman"/>
          <w:color w:val="auto"/>
          <w:sz w:val="30"/>
          <w:szCs w:val="30"/>
        </w:rPr>
        <w:t>房间。</w:t>
      </w:r>
      <w:bookmarkStart w:id="0" w:name="_GoBack"/>
      <w:bookmarkEnd w:id="0"/>
    </w:p>
    <w:p>
      <w:pPr>
        <w:adjustRightInd w:val="0"/>
        <w:snapToGrid w:val="0"/>
        <w:spacing w:line="360" w:lineRule="auto"/>
        <w:ind w:firstLine="600"/>
        <w:rPr>
          <w:rFonts w:hint="eastAsia"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办公时间：工作日8:30-11:30,13:30-17:00。</w:t>
      </w:r>
    </w:p>
    <w:p/>
    <w:p>
      <w:pPr>
        <w:ind w:right="300"/>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group id="组合 170" o:spid="_x0000_s1026" style="position:absolute;left:0;margin-left:-18pt;margin-top:-0.95pt;height:586.05pt;width:453.65pt;rotation:0f;z-index:251658240;" coordorigin="1195,3000" coordsize="9073,11721">
            <o:lock v:ext="edit" position="f" selection="f" grouping="f" rotation="f" cropping="f" text="f" aspectratio="f"/>
            <v:rect id="Rectangle 6" o:spid="_x0000_s1027" style="position:absolute;left:4255;top:11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7" o:spid="_x0000_s1028" type="#_x0000_t116" style="position:absolute;left:5767;top:13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8" o:spid="_x0000_s1029" type="#_x0000_t116" style="position:absolute;left:2042;top:13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9" o:spid="_x0000_s1030" type="#_x0000_t32" style="position:absolute;left:5729;top:10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0" o:spid="_x0000_s1031" type="#_x0000_t32" style="position:absolute;left:7678;top:12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 o:spid="_x0000_s1032" type="#_x0000_t32" style="position:absolute;left:3705;top:12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 o:spid="_x0000_s1033" type="#_x0000_t32" style="position:absolute;left:5730;top:11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3" o:spid="_x0000_s1034" type="#_x0000_t32" style="position:absolute;left:3706;top:12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4" o:spid="_x0000_s1035" style="position:absolute;left:1195;top:3000;height:7693;width:9073;rotation:0f;" coordorigin="1195,3000" coordsize="9073,7693">
              <o:lock v:ext="edit" position="f" selection="f" grouping="f" rotation="f" cropping="f" text="f" aspectratio="f"/>
              <v:shape id="AutoShape 15" o:spid="_x0000_s1036" type="#_x0000_t32" style="position:absolute;left:7240;top:9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6" o:spid="_x0000_s1037" style="position:absolute;left:1195;top:3000;height:7693;width:9073;rotation:0f;" coordorigin="1195,3000" coordsize="9073,7693">
                <o:lock v:ext="edit" position="f" selection="f" grouping="f" rotation="f" cropping="f" text="f" aspectratio="f"/>
                <v:shape id="AutoShape 17" o:spid="_x0000_s1038" type="#_x0000_t34" style="position:absolute;left:7714;top:6155;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18" o:spid="_x0000_s1039" type="#_x0000_t202" style="position:absolute;left:9343;top:5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不能提供符合受理要求的材料</w:t>
                        </w:r>
                      </w:p>
                    </w:txbxContent>
                  </v:textbox>
                </v:shape>
                <v:shape id="AutoShape 19" o:spid="_x0000_s1040" type="#_x0000_t32" style="position:absolute;left:7240;top:7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20" o:spid="_x0000_s1041" type="#_x0000_t202" style="position:absolute;left:3915;top:9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21" o:spid="_x0000_s1042" type="#_x0000_t4" style="position:absolute;left:5346;top:7833;height:1733;width:363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申请人补充材料</w:t>
                        </w:r>
                      </w:p>
                    </w:txbxContent>
                  </v:textbox>
                </v:shape>
                <v:rect id="Rectangle 22" o:spid="_x0000_s1043" style="position:absolute;left:3915;top:10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23" o:spid="_x0000_s1044" style="position:absolute;left:5913;top:6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AutoShape 24" o:spid="_x0000_s1045" type="#_x0000_t116" style="position:absolute;left:5913;top:4050;height:1710;width:2922;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Group 25" o:spid="_x0000_s1046" style="position:absolute;left:1195;top:3000;height:7424;width:4746;rotation:0f;" coordorigin="1195,3000" coordsize="4746,7424">
                  <o:lock v:ext="edit" position="f" selection="f" grouping="f" rotation="f" cropping="f" text="f" aspectratio="f"/>
                  <v:shape id="AutoShape 26" o:spid="_x0000_s1047" type="#_x0000_t32" style="position:absolute;left:5010;top:6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27" o:spid="_x0000_s1048" type="#_x0000_t32" style="position:absolute;left:2702;top:6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28" o:spid="_x0000_s1049" style="position:absolute;left:1195;top:3000;height:4066;width:3781;rotation:0f;" coordorigin="1195,3000" coordsize="3781,4066">
                    <o:lock v:ext="edit" position="f" selection="f" grouping="f" rotation="f" cropping="f" text="f" aspectratio="f"/>
                    <v:shape id="AutoShape 29" o:spid="_x0000_s1050" type="#_x0000_t32" style="position:absolute;left:2743;top:4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0" o:spid="_x0000_s1051" type="#_x0000_t32" style="position:absolute;left:4188;top:5967;flip:y;height:26;width:788;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1" o:spid="_x0000_s1052" type="#_x0000_t4" style="position:absolute;left:1195;top:4919;height:2147;width:299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32" o:spid="_x0000_s1053" type="#_x0000_t116" style="position:absolute;left:1531;top:300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33" o:spid="_x0000_s1054" type="#_x0000_t32" style="position:absolute;left:2702;top:10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4" o:spid="_x0000_s1055" type="#_x0000_t32" style="position:absolute;left:5010;top:4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5" o:spid="_x0000_s1056" type="#_x0000_t32" style="position:absolute;left:5010;top:4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36" o:spid="_x0000_s1057" type="#_x0000_t202" style="position:absolute;left:1944;top:8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37" o:spid="_x0000_s1058" type="#_x0000_t202" style="position:absolute;left:4146;top:5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38" o:spid="_x0000_s1059" type="#_x0000_t32" style="position:absolute;left:8927;top:4886;flip:x;height:0;width:134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left"/>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ind w:firstLine="420"/>
        <w:rPr>
          <w:rFonts w:ascii="Times New Roman" w:hAnsi="Times New Roman" w:cs="Times New Roman"/>
        </w:rPr>
      </w:pPr>
    </w:p>
    <w:p>
      <w:pPr>
        <w:widowControl/>
        <w:jc w:val="left"/>
        <w:rPr>
          <w:rFonts w:ascii="Times New Roman" w:hAnsi="Times New Roman" w:eastAsia="仿宋_GB2312" w:cs="Times New Roman"/>
          <w:sz w:val="30"/>
          <w:szCs w:val="30"/>
        </w:rPr>
      </w:pPr>
      <w:r>
        <w:rPr>
          <w:rFonts w:ascii="Times New Roman" w:hAnsi="Times New Roman" w:eastAsia="仿宋_GB2312" w:cs="Times New Roman"/>
          <w:kern w:val="0"/>
          <w:sz w:val="30"/>
          <w:szCs w:val="30"/>
        </w:rPr>
        <w:br w:type="page"/>
      </w:r>
    </w:p>
    <w:p>
      <w:pPr>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 xml:space="preserve">附录二            </w:t>
      </w:r>
    </w:p>
    <w:p>
      <w:pPr>
        <w:jc w:val="center"/>
        <w:rPr>
          <w:rFonts w:ascii="Times New Roman" w:hAnsi="黑体" w:eastAsia="黑体" w:cs="Times New Roman"/>
          <w:kern w:val="0"/>
          <w:sz w:val="30"/>
          <w:szCs w:val="30"/>
        </w:rPr>
      </w:pPr>
      <w:r>
        <w:rPr>
          <w:rFonts w:ascii="Times New Roman" w:hAnsi="黑体" w:eastAsia="黑体" w:cs="Times New Roman"/>
          <w:kern w:val="0"/>
          <w:sz w:val="30"/>
          <w:szCs w:val="30"/>
        </w:rPr>
        <w:t>常见问题</w:t>
      </w:r>
    </w:p>
    <w:p>
      <w:pPr>
        <w:jc w:val="center"/>
        <w:rPr>
          <w:rFonts w:ascii="Times New Roman" w:hAnsi="Times New Roman" w:eastAsia="黑体" w:cs="Times New Roman"/>
          <w:kern w:val="0"/>
          <w:sz w:val="30"/>
          <w:szCs w:val="30"/>
        </w:rPr>
      </w:pPr>
    </w:p>
    <w:p>
      <w:pPr>
        <w:ind w:firstLine="750" w:firstLineChars="25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1.问：</w:t>
      </w:r>
      <w:r>
        <w:rPr>
          <w:rFonts w:hint="eastAsia" w:ascii="Times New Roman" w:hAnsi="Times New Roman" w:eastAsia="仿宋_GB2312" w:cs="Times New Roman"/>
          <w:kern w:val="0"/>
          <w:sz w:val="30"/>
          <w:szCs w:val="30"/>
        </w:rPr>
        <w:t>我</w:t>
      </w:r>
      <w:r>
        <w:rPr>
          <w:rFonts w:ascii="Times New Roman" w:hAnsi="Times New Roman" w:eastAsia="仿宋_GB2312" w:cs="Times New Roman"/>
          <w:kern w:val="0"/>
          <w:sz w:val="30"/>
          <w:szCs w:val="30"/>
        </w:rPr>
        <w:t>公司境外发债资金如果留存境外需要办理什么手续？</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答：</w:t>
      </w:r>
      <w:r>
        <w:rPr>
          <w:rFonts w:hint="eastAsia" w:ascii="Times New Roman" w:hAnsi="Times New Roman" w:eastAsia="仿宋_GB2312" w:cs="Times New Roman"/>
          <w:kern w:val="0"/>
          <w:sz w:val="30"/>
          <w:szCs w:val="30"/>
        </w:rPr>
        <w:t>非银行机构借用外债或对外发行债券的，原则上应将所涉资金调回境内使用。境内非银行机构境外发债募集资金境外使用，应符合现行外汇管理及相关法律法规要求，</w:t>
      </w:r>
      <w:r>
        <w:rPr>
          <w:rFonts w:ascii="Times New Roman" w:hAnsi="Times New Roman" w:eastAsia="仿宋_GB2312" w:cs="Times New Roman"/>
          <w:kern w:val="0"/>
          <w:sz w:val="30"/>
          <w:szCs w:val="30"/>
        </w:rPr>
        <w:t>并应在境外债券交割日起</w:t>
      </w:r>
      <w:r>
        <w:rPr>
          <w:rFonts w:hint="eastAsia" w:ascii="Times New Roman" w:hAnsi="Times New Roman" w:eastAsia="仿宋_GB2312" w:cs="Times New Roman"/>
          <w:kern w:val="0"/>
          <w:sz w:val="30"/>
          <w:szCs w:val="30"/>
        </w:rPr>
        <w:t>1</w:t>
      </w:r>
      <w:r>
        <w:rPr>
          <w:rFonts w:ascii="Times New Roman" w:hAnsi="Times New Roman" w:eastAsia="仿宋_GB2312" w:cs="Times New Roman"/>
          <w:kern w:val="0"/>
          <w:sz w:val="30"/>
          <w:szCs w:val="30"/>
        </w:rPr>
        <w:t>5个工作日内，到所在地外汇局办理外债签约登记时，一并办理非资金划转类提款备案。</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2.问：我公司计划将已借入外债资金转为股东投资，需要办理什么手续？</w:t>
      </w:r>
    </w:p>
    <w:p>
      <w:pPr>
        <w:rPr>
          <w:rFonts w:ascii="Times New Roman" w:hAnsi="Times New Roman" w:cs="Times New Roman"/>
        </w:rPr>
      </w:pPr>
      <w:r>
        <w:rPr>
          <w:rFonts w:ascii="Times New Roman" w:hAnsi="Times New Roman" w:eastAsia="仿宋_GB2312" w:cs="Times New Roman"/>
          <w:kern w:val="0"/>
          <w:sz w:val="30"/>
          <w:szCs w:val="30"/>
        </w:rPr>
        <w:t xml:space="preserve">    答：需要</w:t>
      </w:r>
      <w:r>
        <w:rPr>
          <w:rFonts w:hint="eastAsia" w:ascii="Times New Roman" w:hAnsi="Times New Roman" w:eastAsia="仿宋_GB2312" w:cs="Times New Roman"/>
          <w:kern w:val="0"/>
          <w:sz w:val="30"/>
          <w:szCs w:val="30"/>
        </w:rPr>
        <w:t>按规定</w:t>
      </w:r>
      <w:r>
        <w:rPr>
          <w:rFonts w:ascii="Times New Roman" w:hAnsi="Times New Roman" w:eastAsia="仿宋_GB2312" w:cs="Times New Roman"/>
          <w:kern w:val="0"/>
          <w:sz w:val="30"/>
          <w:szCs w:val="30"/>
        </w:rPr>
        <w:t>办理外债非资金划转还本付息备案。</w:t>
      </w:r>
    </w:p>
    <w:sectPr>
      <w:footerReference r:id="rId4"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小标宋_GBK">
    <w:panose1 w:val="02000000000000000000"/>
    <w:charset w:val="86"/>
    <w:family w:val="auto"/>
    <w:pitch w:val="default"/>
    <w:sig w:usb0="A00002BF" w:usb1="38CF7CFA" w:usb2="00082016" w:usb3="00000000" w:csb0="00040001"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3</w:t>
    </w:r>
    <w:r>
      <w:rPr>
        <w:lang w:val="zh-CN"/>
      </w:rP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11059936">
    <w:nsid w:val="5A10F1E0"/>
    <w:multiLevelType w:val="singleLevel"/>
    <w:tmpl w:val="5A10F1E0"/>
    <w:lvl w:ilvl="0" w:tentative="1">
      <w:start w:val="3"/>
      <w:numFmt w:val="chineseCounting"/>
      <w:suff w:val="nothing"/>
      <w:lvlText w:val="%1、"/>
      <w:lvlJc w:val="left"/>
    </w:lvl>
  </w:abstractNum>
  <w:abstractNum w:abstractNumId="1511059921">
    <w:nsid w:val="5A10F1D1"/>
    <w:multiLevelType w:val="singleLevel"/>
    <w:tmpl w:val="5A10F1D1"/>
    <w:lvl w:ilvl="0" w:tentative="1">
      <w:start w:val="2"/>
      <w:numFmt w:val="chineseCounting"/>
      <w:suff w:val="nothing"/>
      <w:lvlText w:val="%1、"/>
      <w:lvlJc w:val="left"/>
    </w:lvl>
  </w:abstractNum>
  <w:abstractNum w:abstractNumId="1511347561">
    <w:nsid w:val="5A155569"/>
    <w:multiLevelType w:val="singleLevel"/>
    <w:tmpl w:val="5A155569"/>
    <w:lvl w:ilvl="0" w:tentative="1">
      <w:start w:val="1"/>
      <w:numFmt w:val="decimal"/>
      <w:suff w:val="nothing"/>
      <w:lvlText w:val="%1."/>
      <w:lvlJc w:val="left"/>
    </w:lvl>
  </w:abstractNum>
  <w:num w:numId="1">
    <w:abstractNumId w:val="1511059921"/>
  </w:num>
  <w:num w:numId="2">
    <w:abstractNumId w:val="1511059936"/>
  </w:num>
  <w:num w:numId="3">
    <w:abstractNumId w:val="151134756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D845DA"/>
    <w:rsid w:val="00040DB9"/>
    <w:rsid w:val="000712D9"/>
    <w:rsid w:val="000911DE"/>
    <w:rsid w:val="000A2859"/>
    <w:rsid w:val="000B7295"/>
    <w:rsid w:val="00135195"/>
    <w:rsid w:val="0015061C"/>
    <w:rsid w:val="00156155"/>
    <w:rsid w:val="00166586"/>
    <w:rsid w:val="00224E3E"/>
    <w:rsid w:val="00276240"/>
    <w:rsid w:val="002942A4"/>
    <w:rsid w:val="002C64E2"/>
    <w:rsid w:val="002C6C8D"/>
    <w:rsid w:val="002D3AA2"/>
    <w:rsid w:val="002D7223"/>
    <w:rsid w:val="0038340C"/>
    <w:rsid w:val="0039521E"/>
    <w:rsid w:val="003B0016"/>
    <w:rsid w:val="003E0FE4"/>
    <w:rsid w:val="003E46F2"/>
    <w:rsid w:val="00414FE8"/>
    <w:rsid w:val="00420920"/>
    <w:rsid w:val="00433BB6"/>
    <w:rsid w:val="0046340E"/>
    <w:rsid w:val="00481A58"/>
    <w:rsid w:val="00596114"/>
    <w:rsid w:val="005A057D"/>
    <w:rsid w:val="005D5491"/>
    <w:rsid w:val="005D7B38"/>
    <w:rsid w:val="00624074"/>
    <w:rsid w:val="00631264"/>
    <w:rsid w:val="00633C7C"/>
    <w:rsid w:val="00643652"/>
    <w:rsid w:val="006625F8"/>
    <w:rsid w:val="006B35CF"/>
    <w:rsid w:val="006E7A25"/>
    <w:rsid w:val="006F7B95"/>
    <w:rsid w:val="00715C9E"/>
    <w:rsid w:val="00756B35"/>
    <w:rsid w:val="00771D90"/>
    <w:rsid w:val="007813E1"/>
    <w:rsid w:val="00782304"/>
    <w:rsid w:val="00851234"/>
    <w:rsid w:val="008720C9"/>
    <w:rsid w:val="0088591A"/>
    <w:rsid w:val="00886AB5"/>
    <w:rsid w:val="008A21BD"/>
    <w:rsid w:val="0091298F"/>
    <w:rsid w:val="00925C27"/>
    <w:rsid w:val="009664A8"/>
    <w:rsid w:val="009C2773"/>
    <w:rsid w:val="009E7326"/>
    <w:rsid w:val="009E75E0"/>
    <w:rsid w:val="009F0EE8"/>
    <w:rsid w:val="00A153A2"/>
    <w:rsid w:val="00AF3BF3"/>
    <w:rsid w:val="00B37BB2"/>
    <w:rsid w:val="00B60E36"/>
    <w:rsid w:val="00B80652"/>
    <w:rsid w:val="00C125D3"/>
    <w:rsid w:val="00C36A26"/>
    <w:rsid w:val="00C61046"/>
    <w:rsid w:val="00C70E31"/>
    <w:rsid w:val="00C91A20"/>
    <w:rsid w:val="00C9281D"/>
    <w:rsid w:val="00C94951"/>
    <w:rsid w:val="00C950DE"/>
    <w:rsid w:val="00CD5041"/>
    <w:rsid w:val="00CD76A0"/>
    <w:rsid w:val="00CD7D13"/>
    <w:rsid w:val="00D217AF"/>
    <w:rsid w:val="00D23801"/>
    <w:rsid w:val="00D60042"/>
    <w:rsid w:val="00D845DA"/>
    <w:rsid w:val="00DA17DA"/>
    <w:rsid w:val="00DA3A66"/>
    <w:rsid w:val="00DC7DB0"/>
    <w:rsid w:val="00DE07A6"/>
    <w:rsid w:val="00DF4380"/>
    <w:rsid w:val="00E20C2A"/>
    <w:rsid w:val="00E33869"/>
    <w:rsid w:val="00E55A86"/>
    <w:rsid w:val="00E67747"/>
    <w:rsid w:val="00EB6638"/>
    <w:rsid w:val="00ED5A36"/>
    <w:rsid w:val="00F42420"/>
    <w:rsid w:val="00FA003D"/>
    <w:rsid w:val="00FB4205"/>
    <w:rsid w:val="081A16A4"/>
    <w:rsid w:val="08C2566D"/>
    <w:rsid w:val="0D88390A"/>
    <w:rsid w:val="0FA123E1"/>
    <w:rsid w:val="19B46837"/>
    <w:rsid w:val="3C6B69A2"/>
    <w:rsid w:val="3C7F1D40"/>
    <w:rsid w:val="554F7AB7"/>
    <w:rsid w:val="55B72CB0"/>
    <w:rsid w:val="6F8A5B22"/>
    <w:rsid w:val="77052BFE"/>
  </w:rsids>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9"/>
        <o:r id="V:Rule2" type="connector" idref="#AutoShape 10"/>
        <o:r id="V:Rule3" type="connector" idref="#AutoShape 11"/>
        <o:r id="V:Rule4" type="connector" idref="#AutoShape 12"/>
        <o:r id="V:Rule5" type="connector" idref="#AutoShape 13"/>
        <o:r id="V:Rule6" type="connector" idref="#AutoShape 15"/>
        <o:r id="V:Rule7" type="connector" idref="#AutoShape 17"/>
        <o:r id="V:Rule8" type="connector" idref="#AutoShape 19"/>
        <o:r id="V:Rule9" type="connector" idref="#AutoShape 26"/>
        <o:r id="V:Rule10" type="connector" idref="#AutoShape 27"/>
        <o:r id="V:Rule11" type="connector" idref="#AutoShape 29"/>
        <o:r id="V:Rule12" type="connector" idref="#AutoShape 30"/>
        <o:r id="V:Rule13" type="connector" idref="#AutoShape 33"/>
        <o:r id="V:Rule14" type="connector" idref="#AutoShape 34"/>
        <o:r id="V:Rule15" type="connector" idref="#AutoShape 35"/>
        <o:r id="V:Rule16" type="connector" idref="#AutoShape 38"/>
      </o:rules>
    </o:shapelayout>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24"/>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25"/>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26"/>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qFormat/>
    <w:uiPriority w:val="1"/>
  </w:style>
  <w:style w:type="table" w:default="1" w:styleId="16">
    <w:name w:val="Normal Table"/>
    <w:unhideWhenUsed/>
    <w:qFormat/>
    <w:uiPriority w:val="99"/>
    <w:tblPr>
      <w:tblStyle w:val="16"/>
      <w:tblLayout w:type="fixed"/>
      <w:tblCellMar>
        <w:top w:w="0" w:type="dxa"/>
        <w:left w:w="108" w:type="dxa"/>
        <w:bottom w:w="0" w:type="dxa"/>
        <w:right w:w="108" w:type="dxa"/>
      </w:tblCellMar>
    </w:tblPr>
    <w:tcPr>
      <w:textDirection w:val="lrTb"/>
    </w:tcPr>
  </w:style>
  <w:style w:type="paragraph" w:styleId="5">
    <w:name w:val="Document Map"/>
    <w:basedOn w:val="1"/>
    <w:link w:val="35"/>
    <w:unhideWhenUsed/>
    <w:qFormat/>
    <w:uiPriority w:val="0"/>
    <w:rPr>
      <w:rFonts w:ascii="宋体"/>
      <w:sz w:val="18"/>
      <w:szCs w:val="18"/>
    </w:rPr>
  </w:style>
  <w:style w:type="paragraph" w:styleId="6">
    <w:name w:val="annotation text"/>
    <w:basedOn w:val="1"/>
    <w:link w:val="32"/>
    <w:unhideWhenUsed/>
    <w:qFormat/>
    <w:uiPriority w:val="99"/>
    <w:pPr>
      <w:jc w:val="left"/>
    </w:pPr>
    <w:rPr>
      <w:rFonts w:ascii="Calibri" w:hAnsi="Calibri" w:eastAsia="宋体" w:cs="Times New Roman"/>
    </w:rPr>
  </w:style>
  <w:style w:type="paragraph" w:styleId="7">
    <w:name w:val="Balloon Text"/>
    <w:basedOn w:val="1"/>
    <w:link w:val="29"/>
    <w:unhideWhenUsed/>
    <w:qFormat/>
    <w:uiPriority w:val="0"/>
    <w:rPr>
      <w:sz w:val="18"/>
      <w:szCs w:val="18"/>
    </w:rPr>
  </w:style>
  <w:style w:type="paragraph" w:styleId="8">
    <w:name w:val="footer"/>
    <w:basedOn w:val="1"/>
    <w:link w:val="28"/>
    <w:unhideWhenUsed/>
    <w:qFormat/>
    <w:uiPriority w:val="99"/>
    <w:pPr>
      <w:tabs>
        <w:tab w:val="center" w:pos="4153"/>
        <w:tab w:val="right" w:pos="8306"/>
      </w:tabs>
      <w:snapToGrid w:val="0"/>
      <w:jc w:val="left"/>
    </w:pPr>
    <w:rPr>
      <w:sz w:val="18"/>
      <w:szCs w:val="18"/>
    </w:rPr>
  </w:style>
  <w:style w:type="paragraph" w:styleId="9">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3"/>
    <w:semiHidden/>
    <w:qFormat/>
    <w:uiPriority w:val="0"/>
    <w:pPr>
      <w:snapToGrid w:val="0"/>
      <w:jc w:val="left"/>
    </w:pPr>
    <w:rPr>
      <w:rFonts w:ascii="Times New Roman" w:hAnsi="Times New Roman"/>
      <w:sz w:val="18"/>
      <w:szCs w:val="18"/>
    </w:rPr>
  </w:style>
  <w:style w:type="paragraph" w:styleId="11">
    <w:name w:val="HTML Preformatted"/>
    <w:basedOn w:val="1"/>
    <w:link w:val="3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qFormat/>
    <w:uiPriority w:val="99"/>
    <w:rPr>
      <w:rFonts w:hint="default" w:ascii="ˎ̥" w:hAnsi="ˎ̥"/>
      <w:color w:val="0453CC"/>
      <w:sz w:val="20"/>
      <w:szCs w:val="20"/>
      <w:u w:val="none"/>
    </w:rPr>
  </w:style>
  <w:style w:type="character" w:styleId="15">
    <w:name w:val="footnote reference"/>
    <w:unhideWhenUsed/>
    <w:qFormat/>
    <w:uiPriority w:val="0"/>
    <w:rPr>
      <w:rFonts w:ascii="Times New Roman" w:hAnsi="Times New Roman" w:cs="Times New Roman"/>
      <w:vertAlign w:val="superscript"/>
    </w:rPr>
  </w:style>
  <w:style w:type="paragraph" w:customStyle="1" w:styleId="17">
    <w:name w:val="List Paragraph"/>
    <w:basedOn w:val="1"/>
    <w:qFormat/>
    <w:uiPriority w:val="99"/>
    <w:pPr>
      <w:ind w:firstLine="420" w:firstLineChars="200"/>
    </w:pPr>
  </w:style>
  <w:style w:type="paragraph" w:customStyle="1" w:styleId="18">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19">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0">
    <w:name w:val="列出段落1"/>
    <w:basedOn w:val="1"/>
    <w:qFormat/>
    <w:uiPriority w:val="34"/>
    <w:pPr>
      <w:ind w:firstLine="420" w:firstLineChars="200"/>
    </w:pPr>
    <w:rPr>
      <w:rFonts w:ascii="Calibri" w:hAnsi="Calibri" w:eastAsia="宋体" w:cs="Times New Roman"/>
    </w:rPr>
  </w:style>
  <w:style w:type="paragraph" w:customStyle="1" w:styleId="21">
    <w:name w:val="列出段落4"/>
    <w:basedOn w:val="1"/>
    <w:qFormat/>
    <w:uiPriority w:val="0"/>
    <w:pPr>
      <w:ind w:firstLine="200" w:firstLineChars="200"/>
    </w:pPr>
    <w:rPr>
      <w:rFonts w:ascii="Calibri" w:hAnsi="Calibri" w:eastAsia="宋体" w:cs="Times New Roman"/>
    </w:rPr>
  </w:style>
  <w:style w:type="paragraph" w:customStyle="1" w:styleId="22">
    <w:name w:val="列出段落3"/>
    <w:basedOn w:val="1"/>
    <w:qFormat/>
    <w:uiPriority w:val="0"/>
    <w:pPr>
      <w:ind w:firstLine="420" w:firstLineChars="200"/>
    </w:pPr>
    <w:rPr>
      <w:rFonts w:ascii="Times New Roman" w:hAnsi="Times New Roman" w:eastAsia="宋体" w:cs="Times New Roman"/>
      <w:szCs w:val="24"/>
    </w:rPr>
  </w:style>
  <w:style w:type="paragraph" w:customStyle="1" w:styleId="23">
    <w:name w:val="p0"/>
    <w:basedOn w:val="1"/>
    <w:qFormat/>
    <w:uiPriority w:val="0"/>
    <w:pPr>
      <w:widowControl/>
    </w:pPr>
    <w:rPr>
      <w:rFonts w:ascii="Calibri" w:hAnsi="Calibri" w:eastAsia="宋体" w:cs="宋体"/>
      <w:kern w:val="0"/>
      <w:szCs w:val="21"/>
    </w:rPr>
  </w:style>
  <w:style w:type="character" w:customStyle="1" w:styleId="24">
    <w:name w:val="标题 1 Char"/>
    <w:basedOn w:val="13"/>
    <w:link w:val="2"/>
    <w:qFormat/>
    <w:uiPriority w:val="9"/>
    <w:rPr>
      <w:rFonts w:ascii="黑体" w:hAnsi="黑体" w:eastAsia="黑体" w:cs="宋体"/>
      <w:color w:val="000000"/>
      <w:kern w:val="0"/>
      <w:sz w:val="30"/>
      <w:szCs w:val="30"/>
    </w:rPr>
  </w:style>
  <w:style w:type="character" w:customStyle="1" w:styleId="25">
    <w:name w:val="标题 2 Char"/>
    <w:basedOn w:val="13"/>
    <w:link w:val="3"/>
    <w:qFormat/>
    <w:uiPriority w:val="9"/>
    <w:rPr>
      <w:rFonts w:ascii="Cambria" w:hAnsi="Cambria" w:eastAsia="宋体" w:cs="Times New Roman"/>
      <w:b/>
      <w:bCs/>
      <w:sz w:val="32"/>
      <w:szCs w:val="32"/>
    </w:rPr>
  </w:style>
  <w:style w:type="character" w:customStyle="1" w:styleId="26">
    <w:name w:val="标题 3 Char"/>
    <w:basedOn w:val="13"/>
    <w:link w:val="4"/>
    <w:qFormat/>
    <w:uiPriority w:val="9"/>
    <w:rPr>
      <w:rFonts w:ascii="仿宋_GB2312" w:hAnsi="Calibri" w:eastAsia="仿宋_GB2312" w:cs="Times New Roman"/>
      <w:sz w:val="30"/>
      <w:szCs w:val="30"/>
    </w:rPr>
  </w:style>
  <w:style w:type="character" w:customStyle="1" w:styleId="27">
    <w:name w:val="页眉 Char"/>
    <w:basedOn w:val="13"/>
    <w:link w:val="9"/>
    <w:qFormat/>
    <w:uiPriority w:val="99"/>
    <w:rPr>
      <w:sz w:val="18"/>
      <w:szCs w:val="18"/>
    </w:rPr>
  </w:style>
  <w:style w:type="character" w:customStyle="1" w:styleId="28">
    <w:name w:val="页脚 Char"/>
    <w:basedOn w:val="13"/>
    <w:link w:val="8"/>
    <w:qFormat/>
    <w:uiPriority w:val="99"/>
    <w:rPr>
      <w:sz w:val="18"/>
      <w:szCs w:val="18"/>
    </w:rPr>
  </w:style>
  <w:style w:type="character" w:customStyle="1" w:styleId="29">
    <w:name w:val="批注框文本 Char"/>
    <w:basedOn w:val="13"/>
    <w:link w:val="7"/>
    <w:qFormat/>
    <w:uiPriority w:val="0"/>
    <w:rPr>
      <w:sz w:val="18"/>
      <w:szCs w:val="18"/>
    </w:rPr>
  </w:style>
  <w:style w:type="character" w:customStyle="1" w:styleId="30">
    <w:name w:val="批注框文本 Char1"/>
    <w:basedOn w:val="13"/>
    <w:semiHidden/>
    <w:qFormat/>
    <w:uiPriority w:val="99"/>
    <w:rPr>
      <w:sz w:val="18"/>
      <w:szCs w:val="18"/>
    </w:rPr>
  </w:style>
  <w:style w:type="character" w:customStyle="1" w:styleId="31">
    <w:name w:val="HTML 预设格式 Char"/>
    <w:basedOn w:val="13"/>
    <w:link w:val="11"/>
    <w:qFormat/>
    <w:uiPriority w:val="99"/>
    <w:rPr>
      <w:rFonts w:ascii="宋体" w:hAnsi="宋体" w:eastAsia="宋体" w:cs="宋体"/>
      <w:kern w:val="0"/>
      <w:sz w:val="24"/>
      <w:szCs w:val="24"/>
    </w:rPr>
  </w:style>
  <w:style w:type="character" w:customStyle="1" w:styleId="32">
    <w:name w:val="批注文字 Char"/>
    <w:basedOn w:val="13"/>
    <w:link w:val="6"/>
    <w:qFormat/>
    <w:uiPriority w:val="99"/>
    <w:rPr>
      <w:rFonts w:ascii="Calibri" w:hAnsi="Calibri" w:eastAsia="宋体" w:cs="Times New Roman"/>
    </w:rPr>
  </w:style>
  <w:style w:type="character" w:customStyle="1" w:styleId="33">
    <w:name w:val="脚注文本 Char"/>
    <w:basedOn w:val="13"/>
    <w:link w:val="10"/>
    <w:semiHidden/>
    <w:qFormat/>
    <w:uiPriority w:val="0"/>
    <w:rPr>
      <w:rFonts w:ascii="Times New Roman" w:hAnsi="Times New Roman"/>
      <w:sz w:val="18"/>
      <w:szCs w:val="18"/>
    </w:rPr>
  </w:style>
  <w:style w:type="character" w:customStyle="1" w:styleId="34">
    <w:name w:val="标题 4 Char Char"/>
    <w:qFormat/>
    <w:uiPriority w:val="0"/>
    <w:rPr>
      <w:rFonts w:ascii="Calibri" w:hAnsi="Calibri"/>
      <w:b/>
      <w:bCs/>
      <w:sz w:val="28"/>
      <w:szCs w:val="28"/>
      <w:lang w:eastAsia="en-US" w:bidi="en-US"/>
    </w:rPr>
  </w:style>
  <w:style w:type="character" w:customStyle="1" w:styleId="35">
    <w:name w:val="文档结构图 Char"/>
    <w:basedOn w:val="13"/>
    <w:link w:val="5"/>
    <w:qFormat/>
    <w:uiPriority w:val="0"/>
    <w:rPr>
      <w:rFonts w:ascii="宋体"/>
      <w:sz w:val="18"/>
      <w:szCs w:val="18"/>
    </w:rPr>
  </w:style>
  <w:style w:type="character" w:customStyle="1" w:styleId="36">
    <w:name w:val="Intense Emphasis"/>
    <w:basedOn w:val="13"/>
    <w:qFormat/>
    <w:uiPriority w:val="21"/>
    <w:rPr>
      <w:b/>
      <w:bCs/>
      <w:i/>
      <w:iCs/>
      <w:color w:val="4F81BD"/>
    </w:rPr>
  </w:style>
  <w:style w:type="character" w:customStyle="1" w:styleId="37">
    <w:name w:val="文档结构图 Char1"/>
    <w:basedOn w:val="13"/>
    <w:semiHidden/>
    <w:qFormat/>
    <w:uiPriority w:val="99"/>
    <w:rPr>
      <w:rFonts w:ascii="宋体" w:eastAsia="宋体"/>
      <w:sz w:val="18"/>
      <w:szCs w:val="18"/>
    </w:rPr>
  </w:style>
  <w:style w:type="character" w:customStyle="1" w:styleId="38">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8</Pages>
  <Words>376</Words>
  <Characters>2144</Characters>
  <Lines>17</Lines>
  <Paragraphs>5</Paragraphs>
  <ScaleCrop>false</ScaleCrop>
  <LinksUpToDate>false</LinksUpToDate>
  <CharactersWithSpaces>0</CharactersWithSpaces>
  <Application>WPS Office 专业版_9.1.0.5019_F1E327BC-269C-435d-A152-05C5408002CA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2019-11-28T09:31:00Z</dcterms:created>
  <dc:creator>朱敏1</dc:creator>
  <cp:lastModifiedBy>陈炅炜</cp:lastModifiedBy>
  <cp:lastPrinted>2020-07-02T08:52:00Z</cp:lastPrinted>
  <dcterms:modified xsi:type="dcterms:W3CDTF">2023-08-18T08:24:44Z</dcterms:modified>
  <dc:title>编号：57006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2052-9.1.0.5019</vt:lpwstr>
  </property>
</Properties>
</file>