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p>
    <w:p>
      <w:pPr>
        <w:ind w:right="300"/>
        <w:jc w:val="center"/>
        <w:rPr>
          <w:rFonts w:ascii="Times New Roman" w:hAnsi="Times New Roman" w:eastAsia="黑体" w:cs="Times New Roman"/>
          <w:sz w:val="48"/>
          <w:szCs w:val="48"/>
        </w:rPr>
      </w:pPr>
    </w:p>
    <w:p>
      <w:pPr>
        <w:ind w:right="300"/>
        <w:jc w:val="center"/>
        <w:rPr>
          <w:rFonts w:ascii="Times New Roman" w:hAnsi="Times New Roman" w:eastAsia="黑体" w:cs="Times New Roman"/>
          <w:sz w:val="30"/>
          <w:szCs w:val="30"/>
        </w:rPr>
      </w:pPr>
    </w:p>
    <w:p>
      <w:pPr>
        <w:ind w:right="300"/>
        <w:jc w:val="left"/>
        <w:rPr>
          <w:rFonts w:ascii="Times New Roman" w:hAnsi="Times New Roman" w:eastAsia="黑体" w:cs="Times New Roman"/>
          <w:sz w:val="30"/>
          <w:szCs w:val="30"/>
        </w:rPr>
      </w:pPr>
      <w:r>
        <w:rPr>
          <w:rFonts w:ascii="Times New Roman" w:hAnsi="Times New Roman" w:eastAsia="黑体" w:cs="Times New Roman"/>
          <w:sz w:val="48"/>
          <w:szCs w:val="48"/>
        </w:rPr>
        <w:t>编号：57007</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“境内机构（不含商业银行）向境外提供商业贷款审批与登记”行政审批服务指南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7</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8</w:t>
      </w:r>
      <w:bookmarkStart w:id="0" w:name="_GoBack"/>
      <w:bookmarkEnd w:id="0"/>
      <w:r>
        <w:rPr>
          <w:rFonts w:ascii="Times New Roman" w:hAnsi="Times New Roman" w:eastAsia="仿宋_GB2312" w:cs="Times New Roman"/>
          <w:sz w:val="30"/>
          <w:szCs w:val="30"/>
        </w:rPr>
        <w:t>日</w:t>
      </w:r>
    </w:p>
    <w:p>
      <w:pPr>
        <w:pStyle w:val="23"/>
        <w:adjustRightInd w:val="0"/>
        <w:snapToGrid w:val="0"/>
        <w:spacing w:line="360" w:lineRule="auto"/>
        <w:ind w:firstLine="0" w:firstLineChars="0"/>
        <w:jc w:val="center"/>
        <w:outlineLvl w:val="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青海省分局</w:t>
      </w: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项目名称：境内机构（不含商业银行）向境外提供商业贷款审批与登记；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项目编号：57007；</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本指南适用于“境内机构（不含商业银行）向境外提供商业贷款审批与登记”的申请和办理。</w:t>
      </w:r>
    </w:p>
    <w:p>
      <w:pPr>
        <w:adjustRightInd w:val="0"/>
        <w:snapToGrid w:val="0"/>
        <w:spacing w:line="360" w:lineRule="auto"/>
        <w:ind w:firstLine="585" w:firstLineChars="19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条：“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黑体" w:eastAsia="黑体" w:cs="Times New Roman"/>
          <w:sz w:val="30"/>
          <w:szCs w:val="30"/>
        </w:rPr>
        <w:t>四、内保外贷</w:t>
      </w:r>
      <w:r>
        <w:rPr>
          <w:rFonts w:hint="eastAsia" w:ascii="Times New Roman" w:hAnsi="黑体" w:eastAsia="黑体" w:cs="Times New Roman"/>
          <w:sz w:val="30"/>
          <w:szCs w:val="30"/>
          <w:lang w:eastAsia="zh-CN"/>
        </w:rPr>
        <w:t>担保</w:t>
      </w:r>
      <w:r>
        <w:rPr>
          <w:rFonts w:ascii="Times New Roman" w:hAnsi="黑体" w:eastAsia="黑体" w:cs="Times New Roman"/>
          <w:sz w:val="30"/>
          <w:szCs w:val="30"/>
        </w:rPr>
        <w:t>履约对外债权登记</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（一）办理依据</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1.《中华人民共和国外汇管理条例》（国务院令第532号）。</w:t>
      </w:r>
    </w:p>
    <w:p>
      <w:pPr>
        <w:widowControl/>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2.《国家外汇管理局关于发布〈跨境担保外汇管理规定〉的通知》（汇发〔2014〕29号）。</w:t>
      </w:r>
    </w:p>
    <w:p>
      <w:pPr>
        <w:widowControl/>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3.《国家外汇管理局关于进一步推进外汇管理改革完善真实合规性审核的通知》（汇发〔2017〕3号）。</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585"/>
        <w:rPr>
          <w:rFonts w:ascii="Times New Roman" w:hAnsi="Times New Roman" w:eastAsia="黑体" w:cs="Times New Roman"/>
          <w:sz w:val="30"/>
          <w:szCs w:val="30"/>
        </w:rPr>
      </w:pPr>
      <w:r>
        <w:rPr>
          <w:rFonts w:ascii="Times New Roman" w:hAnsi="黑体"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黑体" w:eastAsia="黑体" w:cs="Times New Roman"/>
          <w:sz w:val="30"/>
          <w:szCs w:val="30"/>
        </w:rPr>
        <w:t>（五）办事条件</w:t>
      </w:r>
    </w:p>
    <w:p>
      <w:pPr>
        <w:widowControl/>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1.内保外贷发生担保履约的，成为对外债权人的境内担保人或境内反担保人，应办理对外债权登记。</w:t>
      </w:r>
    </w:p>
    <w:p>
      <w:pPr>
        <w:widowControl/>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2.债权人为非银行机构的，应在担保履约后15个工作日内到所在地外汇局办理对外债权登记，并按规定办理与对外债权相关的变更、注销手续。</w:t>
      </w:r>
    </w:p>
    <w:p>
      <w:pPr>
        <w:widowControl/>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3.禁止性要求：如符合上述条件，不存在不予许可的情况。</w:t>
      </w:r>
    </w:p>
    <w:p>
      <w:pPr>
        <w:widowControl/>
        <w:ind w:firstLine="600"/>
        <w:rPr>
          <w:rFonts w:ascii="Times New Roman" w:hAnsi="Times New Roman" w:eastAsia="仿宋_GB2312" w:cs="Times New Roman"/>
          <w:sz w:val="30"/>
          <w:szCs w:val="30"/>
        </w:rPr>
      </w:pPr>
      <w:r>
        <w:rPr>
          <w:rFonts w:ascii="Times New Roman" w:hAnsi="黑体" w:eastAsia="黑体" w:cs="Times New Roman"/>
          <w:sz w:val="30"/>
          <w:szCs w:val="30"/>
        </w:rPr>
        <w:t>（六）申请材料</w:t>
      </w:r>
    </w:p>
    <w:tbl>
      <w:tblPr>
        <w:tblStyle w:val="17"/>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3222"/>
        <w:gridCol w:w="1701"/>
        <w:gridCol w:w="425"/>
        <w:gridCol w:w="993"/>
        <w:gridCol w:w="425"/>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vAlign w:val="center"/>
          </w:tcPr>
          <w:p>
            <w:pPr>
              <w:ind w:left="-141" w:leftChars="-67" w:right="-10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222" w:type="dxa"/>
            <w:vAlign w:val="center"/>
          </w:tcPr>
          <w:p>
            <w:pPr>
              <w:ind w:left="-84" w:leftChars="-40" w:right="-116"/>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701" w:type="dxa"/>
            <w:vAlign w:val="center"/>
          </w:tcPr>
          <w:p>
            <w:pPr>
              <w:ind w:left="-126" w:leftChars="-60" w:right="-12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ind w:left="-126" w:leftChars="-60" w:right="-12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vAlign w:val="center"/>
          </w:tcPr>
          <w:p>
            <w:pPr>
              <w:ind w:left="-90" w:leftChars="-43" w:right="-104"/>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3" w:type="dxa"/>
            <w:vAlign w:val="center"/>
          </w:tcPr>
          <w:p>
            <w:pPr>
              <w:ind w:left="-111" w:leftChars="-53" w:right="-89" w:firstLine="111" w:firstLineChars="46"/>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ind w:left="-111" w:leftChars="-53" w:right="-89" w:firstLine="111" w:firstLineChars="46"/>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425" w:type="dxa"/>
            <w:vAlign w:val="center"/>
          </w:tcPr>
          <w:p>
            <w:pPr>
              <w:ind w:left="-141" w:leftChars="-67" w:right="-121"/>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06" w:type="dxa"/>
            <w:vAlign w:val="center"/>
          </w:tcPr>
          <w:p>
            <w:pPr>
              <w:ind w:left="-94" w:leftChars="-45" w:right="-73" w:firstLine="94" w:firstLineChars="3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vAlign w:val="center"/>
          </w:tcPr>
          <w:p>
            <w:pPr>
              <w:ind w:left="-141" w:leftChars="-67" w:right="-107" w:rightChars="-5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222" w:type="dxa"/>
            <w:vAlign w:val="center"/>
          </w:tcPr>
          <w:p>
            <w:pPr>
              <w:ind w:left="-2" w:right="33"/>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包括内保外贷签约登记办理情况、担保履约的原因、履约资金来源、境外债务人还款计划及未来还款资金来源等</w:t>
            </w:r>
            <w:r>
              <w:rPr>
                <w:rFonts w:hint="eastAsia" w:ascii="Times New Roman" w:hAnsi="Times New Roman" w:eastAsia="仿宋_GB2312" w:cs="Times New Roman"/>
                <w:sz w:val="24"/>
                <w:szCs w:val="24"/>
              </w:rPr>
              <w:t>）</w:t>
            </w:r>
          </w:p>
        </w:tc>
        <w:tc>
          <w:tcPr>
            <w:tcW w:w="1701" w:type="dxa"/>
            <w:vAlign w:val="center"/>
          </w:tcPr>
          <w:p>
            <w:pPr>
              <w:ind w:right="-125"/>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425" w:type="dxa"/>
            <w:vAlign w:val="center"/>
          </w:tcPr>
          <w:p>
            <w:pPr>
              <w:ind w:left="-90" w:leftChars="-43" w:right="-104"/>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ind w:left="-111" w:leftChars="-53" w:right="-89" w:firstLine="110" w:firstLineChars="46"/>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5" w:type="dxa"/>
            <w:vAlign w:val="center"/>
          </w:tcPr>
          <w:p>
            <w:pPr>
              <w:ind w:right="300"/>
              <w:jc w:val="left"/>
              <w:rPr>
                <w:rFonts w:ascii="Times New Roman" w:hAnsi="Times New Roman" w:eastAsia="仿宋_GB2312" w:cs="Times New Roman"/>
                <w:sz w:val="24"/>
                <w:szCs w:val="24"/>
              </w:rPr>
            </w:pPr>
          </w:p>
        </w:tc>
        <w:tc>
          <w:tcPr>
            <w:tcW w:w="1206" w:type="dxa"/>
            <w:vAlign w:val="center"/>
          </w:tcPr>
          <w:p>
            <w:pPr>
              <w:ind w:right="-73"/>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1" w:hRule="atLeast"/>
        </w:trPr>
        <w:tc>
          <w:tcPr>
            <w:tcW w:w="430" w:type="dxa"/>
            <w:vAlign w:val="center"/>
          </w:tcPr>
          <w:p>
            <w:pPr>
              <w:ind w:left="-141" w:leftChars="-67" w:right="-10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222" w:type="dxa"/>
            <w:vAlign w:val="center"/>
          </w:tcPr>
          <w:p>
            <w:pPr>
              <w:ind w:left="-2" w:right="33"/>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担保履约证明材料</w:t>
            </w:r>
          </w:p>
        </w:tc>
        <w:tc>
          <w:tcPr>
            <w:tcW w:w="1701" w:type="dxa"/>
            <w:vAlign w:val="center"/>
          </w:tcPr>
          <w:p>
            <w:pPr>
              <w:ind w:right="-125"/>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25" w:type="dxa"/>
            <w:vAlign w:val="center"/>
          </w:tcPr>
          <w:p>
            <w:pPr>
              <w:ind w:left="-90" w:leftChars="-43" w:right="-104"/>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ind w:left="-111" w:leftChars="-53" w:right="-89" w:firstLine="110" w:firstLineChars="46"/>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5" w:type="dxa"/>
            <w:vAlign w:val="center"/>
          </w:tcPr>
          <w:p>
            <w:pPr>
              <w:ind w:right="300"/>
              <w:jc w:val="left"/>
              <w:rPr>
                <w:rFonts w:ascii="Times New Roman" w:hAnsi="Times New Roman" w:eastAsia="仿宋_GB2312" w:cs="Times New Roman"/>
                <w:sz w:val="24"/>
                <w:szCs w:val="24"/>
              </w:rPr>
            </w:pPr>
          </w:p>
        </w:tc>
        <w:tc>
          <w:tcPr>
            <w:tcW w:w="1206" w:type="dxa"/>
            <w:vAlign w:val="center"/>
          </w:tcPr>
          <w:p>
            <w:pPr>
              <w:ind w:right="-73"/>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（七）申请接受</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（八）基本办理流程</w:t>
      </w:r>
    </w:p>
    <w:p>
      <w:pPr>
        <w:tabs>
          <w:tab w:val="left" w:pos="615"/>
        </w:tabs>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（十一）审批收费依据及标准</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不收费。</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numPr>
          <w:ilvl w:val="0"/>
          <w:numId w:val="1"/>
        </w:num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咨询途径、监督和投诉、办公地址和时间、公开查询方式</w:t>
      </w:r>
    </w:p>
    <w:p>
      <w:pPr>
        <w:adjustRightInd w:val="0"/>
        <w:snapToGrid w:val="0"/>
        <w:spacing w:line="360" w:lineRule="auto"/>
        <w:ind w:firstLine="600"/>
        <w:rPr>
          <w:rFonts w:ascii="Times New Roman" w:hAnsi="Times New Roman" w:eastAsia="仿宋_GB2312" w:cs="Times New Roman"/>
          <w:sz w:val="30"/>
          <w:szCs w:val="30"/>
          <w:lang w:val="en-US" w:eastAsia="zh-CN"/>
        </w:rPr>
      </w:pPr>
      <w:r>
        <w:rPr>
          <w:rFonts w:ascii="Times New Roman" w:hAnsi="Times New Roman" w:eastAsia="仿宋_GB2312" w:cs="Times New Roman"/>
          <w:sz w:val="30"/>
          <w:szCs w:val="30"/>
          <w:lang w:val="en-US" w:eastAsia="zh-CN"/>
        </w:rPr>
        <w:t>青海省分局：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办公地址：青海省西宁市昆仑路3号，中国人民银行西宁中心支行综合办公楼</w:t>
      </w:r>
      <w:r>
        <w:rPr>
          <w:rFonts w:hint="default" w:ascii="Times New Roman" w:hAnsi="Times New Roman" w:eastAsia="仿宋_GB2312" w:cs="Times New Roman"/>
          <w:sz w:val="30"/>
          <w:szCs w:val="30"/>
          <w:lang w:val="en-US" w:eastAsia="zh-CN"/>
        </w:rPr>
        <w:t>15</w:t>
      </w:r>
      <w:r>
        <w:rPr>
          <w:rFonts w:hint="eastAsia" w:ascii="Times New Roman" w:hAnsi="Times New Roman" w:eastAsia="仿宋_GB2312" w:cs="Times New Roman"/>
          <w:sz w:val="30"/>
          <w:szCs w:val="30"/>
          <w:lang w:val="en-US" w:eastAsia="zh-CN"/>
        </w:rPr>
        <w:t>12室。</w:t>
      </w:r>
    </w:p>
    <w:p>
      <w:pPr>
        <w:adjustRightInd w:val="0"/>
        <w:snapToGrid w:val="0"/>
        <w:spacing w:line="360" w:lineRule="auto"/>
        <w:ind w:firstLine="600"/>
        <w:rPr>
          <w:rFonts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0971</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6126</w:t>
      </w:r>
      <w:r>
        <w:rPr>
          <w:rFonts w:hint="eastAsia" w:ascii="Times New Roman" w:hAnsi="Times New Roman" w:eastAsia="仿宋_GB2312" w:cs="Times New Roman"/>
          <w:sz w:val="30"/>
          <w:szCs w:val="30"/>
          <w:lang w:val="en-US" w:eastAsia="zh-CN"/>
        </w:rPr>
        <w:t>170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0971</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6126148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海东市中心支局：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办公地址：青海省海东市平安区乐都路</w:t>
      </w:r>
      <w:r>
        <w:rPr>
          <w:rFonts w:hint="default" w:ascii="Times New Roman" w:hAnsi="Times New Roman" w:eastAsia="仿宋_GB2312" w:cs="Times New Roman"/>
          <w:sz w:val="30"/>
          <w:szCs w:val="30"/>
          <w:lang w:val="en-US" w:eastAsia="zh-CN"/>
        </w:rPr>
        <w:t>3</w:t>
      </w:r>
      <w:r>
        <w:rPr>
          <w:rFonts w:hint="eastAsia" w:ascii="Times New Roman" w:hAnsi="Times New Roman" w:eastAsia="仿宋_GB2312" w:cs="Times New Roman"/>
          <w:sz w:val="30"/>
          <w:szCs w:val="30"/>
          <w:lang w:val="en-US" w:eastAsia="zh-CN"/>
        </w:rPr>
        <w:t>号，中国人民银行海东市中心支行综合楼</w:t>
      </w:r>
      <w:r>
        <w:rPr>
          <w:rFonts w:hint="default" w:ascii="Times New Roman" w:hAnsi="Times New Roman" w:eastAsia="仿宋_GB2312" w:cs="Times New Roman"/>
          <w:sz w:val="30"/>
          <w:szCs w:val="30"/>
          <w:lang w:val="en-US" w:eastAsia="zh-CN"/>
        </w:rPr>
        <w:t>4</w:t>
      </w:r>
      <w:r>
        <w:rPr>
          <w:rFonts w:hint="eastAsia" w:ascii="Times New Roman" w:hAnsi="Times New Roman" w:eastAsia="仿宋_GB2312" w:cs="Times New Roman"/>
          <w:sz w:val="30"/>
          <w:szCs w:val="30"/>
          <w:lang w:val="en-US" w:eastAsia="zh-CN"/>
        </w:rPr>
        <w:t>楼外汇管理科。</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8:30-12:00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0972</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8685145</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0972</w:t>
      </w:r>
      <w:r>
        <w:rPr>
          <w:rFonts w:hint="eastAsia" w:ascii="Times New Roman" w:hAnsi="Times New Roman" w:eastAsia="仿宋_GB2312" w:cs="Times New Roman"/>
          <w:sz w:val="30"/>
          <w:szCs w:val="30"/>
          <w:lang w:val="en-US" w:eastAsia="zh-CN"/>
        </w:rPr>
        <w:t>—8687008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海西州中心支局：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办公地址：青海省海西州德令哈市长江路</w:t>
      </w:r>
      <w:r>
        <w:rPr>
          <w:rFonts w:hint="default" w:ascii="Times New Roman" w:hAnsi="Times New Roman" w:eastAsia="仿宋_GB2312" w:cs="Times New Roman"/>
          <w:sz w:val="30"/>
          <w:szCs w:val="30"/>
          <w:lang w:val="en-US" w:eastAsia="zh-CN"/>
        </w:rPr>
        <w:t>18</w:t>
      </w:r>
      <w:r>
        <w:rPr>
          <w:rFonts w:hint="eastAsia" w:ascii="Times New Roman" w:hAnsi="Times New Roman" w:eastAsia="仿宋_GB2312" w:cs="Times New Roman"/>
          <w:sz w:val="30"/>
          <w:szCs w:val="30"/>
          <w:lang w:val="en-US" w:eastAsia="zh-CN"/>
        </w:rPr>
        <w:t>号，中国人民银行海西州中心支行</w:t>
      </w:r>
      <w:r>
        <w:rPr>
          <w:rFonts w:hint="default" w:ascii="Times New Roman" w:hAnsi="Times New Roman" w:eastAsia="仿宋_GB2312" w:cs="Times New Roman"/>
          <w:sz w:val="30"/>
          <w:szCs w:val="30"/>
          <w:lang w:val="en-US" w:eastAsia="zh-CN"/>
        </w:rPr>
        <w:t>410</w:t>
      </w:r>
      <w:r>
        <w:rPr>
          <w:rFonts w:hint="eastAsia" w:ascii="Times New Roman" w:hAnsi="Times New Roman" w:eastAsia="仿宋_GB2312" w:cs="Times New Roman"/>
          <w:sz w:val="30"/>
          <w:szCs w:val="30"/>
          <w:lang w:val="en-US" w:eastAsia="zh-CN"/>
        </w:rPr>
        <w:t>室。</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0977</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8205400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0977</w:t>
      </w:r>
      <w:r>
        <w:rPr>
          <w:rFonts w:hint="eastAsia" w:ascii="Times New Roman" w:hAnsi="Times New Roman" w:eastAsia="仿宋_GB2312" w:cs="Times New Roman"/>
          <w:sz w:val="30"/>
          <w:szCs w:val="30"/>
          <w:lang w:val="en-US" w:eastAsia="zh-CN"/>
        </w:rPr>
        <w:t>—8220412</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格尔木市支局：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办公地址：青海省海西蒙古族藏族自治州格尔木市柴达木中路</w:t>
      </w:r>
      <w:r>
        <w:rPr>
          <w:rFonts w:hint="default" w:ascii="Times New Roman" w:hAnsi="Times New Roman" w:eastAsia="仿宋_GB2312" w:cs="Times New Roman"/>
          <w:sz w:val="30"/>
          <w:szCs w:val="30"/>
          <w:lang w:val="en-US" w:eastAsia="zh-CN"/>
        </w:rPr>
        <w:t>20</w:t>
      </w:r>
      <w:r>
        <w:rPr>
          <w:rFonts w:hint="eastAsia" w:ascii="Times New Roman" w:hAnsi="Times New Roman" w:eastAsia="仿宋_GB2312" w:cs="Times New Roman"/>
          <w:sz w:val="30"/>
          <w:szCs w:val="30"/>
          <w:lang w:val="en-US" w:eastAsia="zh-CN"/>
        </w:rPr>
        <w:t>号，中国人民银行格尔木市支行</w:t>
      </w:r>
      <w:r>
        <w:rPr>
          <w:rFonts w:hint="default" w:ascii="Times New Roman" w:hAnsi="Times New Roman" w:eastAsia="仿宋_GB2312" w:cs="Times New Roman"/>
          <w:sz w:val="30"/>
          <w:szCs w:val="30"/>
          <w:lang w:val="en-US" w:eastAsia="zh-CN"/>
        </w:rPr>
        <w:t>406</w:t>
      </w:r>
      <w:r>
        <w:rPr>
          <w:rFonts w:hint="eastAsia" w:ascii="Times New Roman" w:hAnsi="Times New Roman" w:eastAsia="仿宋_GB2312" w:cs="Times New Roman"/>
          <w:sz w:val="30"/>
          <w:szCs w:val="30"/>
          <w:lang w:val="en-US" w:eastAsia="zh-CN"/>
        </w:rPr>
        <w:t>室。</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0979</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8418430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0979</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841</w:t>
      </w:r>
      <w:r>
        <w:rPr>
          <w:rFonts w:hint="eastAsia" w:ascii="Times New Roman" w:hAnsi="Times New Roman" w:eastAsia="仿宋_GB2312" w:cs="Times New Roman"/>
          <w:sz w:val="30"/>
          <w:szCs w:val="30"/>
          <w:lang w:val="en-US" w:eastAsia="zh-CN"/>
        </w:rPr>
        <w:t>2176</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向各地外汇局进行咨询、进程查询、监督和投诉等可通过各地外汇局官方互联网站</w:t>
      </w:r>
      <w:r>
        <w:rPr>
          <w:rFonts w:hint="eastAsia" w:ascii="Times New Roman" w:hAnsi="Times New Roman" w:eastAsia="仿宋_GB2312" w:cs="Times New Roman"/>
          <w:sz w:val="30"/>
          <w:szCs w:val="30"/>
          <w:lang w:val="en-US" w:eastAsia="zh-CN"/>
        </w:rPr>
        <w:t>咨询反馈功能</w:t>
      </w:r>
      <w:r>
        <w:rPr>
          <w:rFonts w:hint="default" w:ascii="Times New Roman" w:hAnsi="Times New Roman" w:eastAsia="仿宋_GB2312" w:cs="Times New Roman"/>
          <w:sz w:val="30"/>
          <w:szCs w:val="30"/>
          <w:lang w:val="en-US" w:eastAsia="zh-CN"/>
        </w:rPr>
        <w:t>进行。</w:t>
      </w:r>
      <w:r>
        <w:rPr>
          <w:rFonts w:hint="eastAsia" w:ascii="Times New Roman" w:hAnsi="Times New Roman" w:eastAsia="仿宋_GB2312" w:cs="Times New Roman"/>
          <w:sz w:val="30"/>
          <w:szCs w:val="30"/>
          <w:lang w:val="en-US" w:eastAsia="zh-CN"/>
        </w:rPr>
        <w:t>青海省分局互联网站网址：www.sa</w:t>
      </w:r>
      <w:r>
        <w:rPr>
          <w:rFonts w:ascii="Times New Roman" w:hAnsi="Times New Roman" w:eastAsia="仿宋_GB2312" w:cs="Times New Roman"/>
          <w:sz w:val="30"/>
          <w:szCs w:val="30"/>
          <w:lang w:val="en-US" w:eastAsia="zh-CN"/>
        </w:rPr>
        <w:t>青海省分局：</w:t>
      </w:r>
      <w:r>
        <w:rPr>
          <w:rFonts w:hint="eastAsia" w:ascii="Times New Roman" w:hAnsi="Times New Roman" w:eastAsia="仿宋_GB2312" w:cs="Times New Roman"/>
          <w:sz w:val="30"/>
          <w:szCs w:val="30"/>
          <w:lang w:val="en-US" w:eastAsia="zh-CN"/>
        </w:rPr>
        <w:t>fe.gov.cn/qinghai/index.html。</w:t>
      </w:r>
    </w:p>
    <w:p>
      <w:pPr>
        <w:adjustRightInd w:val="0"/>
        <w:snapToGrid w:val="0"/>
        <w:spacing w:line="360" w:lineRule="auto"/>
        <w:ind w:firstLine="600"/>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对行政许可进程信息进行查询，也可登陆国家外汇管理局政务服务网上办理系统（通过国家外汇管理局“数字外管”平台：</w:t>
      </w:r>
      <w:r>
        <w:rPr>
          <w:rFonts w:hint="eastAsia" w:ascii="Times New Roman" w:hAnsi="Times New Roman" w:eastAsia="仿宋_GB2312" w:cs="Times New Roman"/>
          <w:sz w:val="30"/>
          <w:szCs w:val="30"/>
          <w:lang w:val="en-US" w:eastAsia="zh-CN"/>
        </w:rPr>
        <w:fldChar w:fldCharType="begin"/>
      </w:r>
      <w:r>
        <w:rPr>
          <w:rFonts w:hint="eastAsia" w:ascii="Times New Roman" w:hAnsi="Times New Roman" w:eastAsia="仿宋_GB2312" w:cs="Times New Roman"/>
          <w:sz w:val="30"/>
          <w:szCs w:val="30"/>
          <w:lang w:val="en-US" w:eastAsia="zh-CN"/>
        </w:rPr>
        <w:instrText xml:space="preserve"> HYPERLINK "http://zwfw.safe.gov.cn/asone/）" </w:instrText>
      </w:r>
      <w:r>
        <w:rPr>
          <w:rFonts w:hint="eastAsia" w:ascii="Times New Roman" w:hAnsi="Times New Roman" w:eastAsia="仿宋_GB2312" w:cs="Times New Roman"/>
          <w:sz w:val="30"/>
          <w:szCs w:val="30"/>
          <w:lang w:val="en-US" w:eastAsia="zh-CN"/>
        </w:rPr>
        <w:fldChar w:fldCharType="separate"/>
      </w:r>
      <w:r>
        <w:rPr>
          <w:rFonts w:hint="eastAsia" w:ascii="Times New Roman" w:hAnsi="Times New Roman" w:eastAsia="仿宋_GB2312" w:cs="Times New Roman"/>
          <w:sz w:val="30"/>
          <w:szCs w:val="30"/>
          <w:lang w:val="en-US" w:eastAsia="zh-CN"/>
        </w:rPr>
        <w:t>http://zwfw.safe.gov.cn/asone/）</w:t>
      </w:r>
      <w:r>
        <w:rPr>
          <w:rFonts w:hint="eastAsia" w:ascii="Times New Roman" w:hAnsi="Times New Roman" w:eastAsia="仿宋_GB2312" w:cs="Times New Roman"/>
          <w:sz w:val="30"/>
          <w:szCs w:val="30"/>
          <w:lang w:val="en-US" w:eastAsia="zh-CN"/>
        </w:rPr>
        <w:fldChar w:fldCharType="end"/>
      </w:r>
      <w:r>
        <w:rPr>
          <w:rFonts w:hint="eastAsia" w:ascii="Times New Roman" w:hAnsi="Times New Roman" w:eastAsia="仿宋_GB2312" w:cs="Times New Roman"/>
          <w:sz w:val="30"/>
          <w:szCs w:val="30"/>
          <w:lang w:val="en-US" w:eastAsia="zh-CN"/>
        </w:rPr>
        <w:t>，或</w:t>
      </w:r>
      <w:r>
        <w:rPr>
          <w:rFonts w:hint="default" w:ascii="Times New Roman" w:hAnsi="Times New Roman" w:eastAsia="仿宋_GB2312" w:cs="Times New Roman"/>
          <w:sz w:val="30"/>
          <w:szCs w:val="30"/>
          <w:lang w:val="en-US" w:eastAsia="zh-CN"/>
        </w:rPr>
        <w:t>通过微信扫码国家政务服务平台“</w:t>
      </w:r>
      <w:r>
        <w:rPr>
          <w:rFonts w:hint="eastAsia" w:ascii="Times New Roman" w:hAnsi="Times New Roman" w:eastAsia="仿宋_GB2312" w:cs="Times New Roman"/>
          <w:sz w:val="30"/>
          <w:szCs w:val="30"/>
          <w:lang w:val="en-US" w:eastAsia="zh-CN"/>
        </w:rPr>
        <w:t>外汇政务服务</w:t>
      </w:r>
      <w:r>
        <w:rPr>
          <w:rFonts w:hint="default"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lang w:val="en-US" w:eastAsia="zh-CN"/>
        </w:rPr>
        <w:t>二维码快捷查询：</w:t>
      </w:r>
    </w:p>
    <w:p>
      <w:pPr>
        <w:widowControl/>
        <w:wordWrap/>
        <w:adjustRightInd w:val="0"/>
        <w:snapToGrid w:val="0"/>
        <w:spacing w:before="100" w:beforeAutospacing="1" w:after="100" w:afterAutospacing="1" w:line="360" w:lineRule="auto"/>
        <w:ind w:left="0" w:right="0" w:firstLine="601"/>
        <w:jc w:val="left"/>
      </w:pPr>
      <w:r>
        <w:rPr>
          <w:rFonts w:hint="eastAsia" w:ascii="Times New Roman" w:hAnsi="Times New Roman" w:eastAsia="仿宋_GB2312" w:cs="Times New Roman"/>
          <w:i w:val="0"/>
          <w:color w:val="800080"/>
          <w:kern w:val="2"/>
          <w:sz w:val="30"/>
          <w:szCs w:val="30"/>
          <w:u w:val="none"/>
          <w:lang w:val="en-US" w:eastAsia="zh-CN" w:bidi="ar-SA"/>
        </w:rPr>
        <w:t xml:space="preserve">             </w:t>
      </w:r>
      <w:r>
        <w:rPr>
          <w:rFonts w:hint="eastAsia" w:ascii="宋体" w:hAnsi="宋体" w:eastAsia="宋体" w:cs="宋体"/>
          <w:i w:val="0"/>
          <w:color w:val="800080"/>
          <w:kern w:val="0"/>
          <w:sz w:val="24"/>
          <w:szCs w:val="24"/>
          <w:u w:val="none"/>
          <w:lang w:val="en-US" w:eastAsia="zh-CN" w:bidi="ar-SA"/>
        </w:rPr>
        <w:fldChar w:fldCharType="begin"/>
      </w:r>
      <w:r>
        <w:rPr>
          <w:rFonts w:hint="eastAsia" w:ascii="宋体" w:hAnsi="宋体" w:eastAsia="宋体" w:cs="宋体"/>
          <w:i w:val="0"/>
          <w:color w:val="800080"/>
          <w:kern w:val="0"/>
          <w:sz w:val="24"/>
          <w:szCs w:val="24"/>
          <w:u w:val="none"/>
          <w:lang w:val="en-US" w:eastAsia="zh-CN" w:bidi="ar-SA"/>
        </w:rPr>
        <w:instrText xml:space="preserve">INCLUDEPICTURE \d "C:\\Users\\Administrator\\Documents\\My PBC IM\\21474886701897\\images\\1F33774E58B0B4E49251BC97F808A299.png" \* MERGEFORMATINET </w:instrText>
      </w:r>
      <w:r>
        <w:rPr>
          <w:rFonts w:hint="eastAsia" w:ascii="宋体" w:hAnsi="宋体" w:eastAsia="宋体" w:cs="宋体"/>
          <w:i w:val="0"/>
          <w:color w:val="800080"/>
          <w:kern w:val="0"/>
          <w:sz w:val="24"/>
          <w:szCs w:val="24"/>
          <w:u w:val="none"/>
          <w:lang w:val="en-US" w:eastAsia="zh-CN" w:bidi="ar-SA"/>
        </w:rPr>
        <w:fldChar w:fldCharType="separate"/>
      </w:r>
      <w:r>
        <w:rPr>
          <w:rFonts w:hint="eastAsia" w:ascii="宋体" w:hAnsi="宋体" w:eastAsia="宋体" w:cs="宋体"/>
          <w:i w:val="0"/>
          <w:color w:val="800080"/>
          <w:kern w:val="0"/>
          <w:sz w:val="24"/>
          <w:szCs w:val="24"/>
          <w:u w:val="none"/>
          <w:lang w:val="en-US" w:eastAsia="zh-CN" w:bidi="ar-SA"/>
        </w:rPr>
        <w:pict>
          <v:shape id="图片 36" o:spid="_x0000_s1027" type="#_x0000_t75" style="height:165pt;width:177pt;rotation:0f;" o:ole="f" fillcolor="#FFFFFF" filled="f" o:preferrelative="t" stroked="f" coordorigin="0,0" coordsize="21600,21600">
            <v:fill on="f" color2="#FFFFFF" focus="0%"/>
            <v:imagedata gain="65536f" blacklevel="0f" gamma="0" o:title="IMG_256" r:id="rId8"/>
            <o:lock v:ext="edit" position="f" selection="f" grouping="f" rotation="f" cropping="f" text="f" aspectratio="t"/>
            <w10:wrap type="none"/>
            <w10:anchorlock/>
          </v:shape>
        </w:pict>
      </w:r>
      <w:r>
        <w:rPr>
          <w:rFonts w:hint="eastAsia" w:ascii="宋体" w:hAnsi="宋体" w:eastAsia="宋体" w:cs="宋体"/>
          <w:i w:val="0"/>
          <w:color w:val="800080"/>
          <w:kern w:val="0"/>
          <w:sz w:val="24"/>
          <w:szCs w:val="24"/>
          <w:u w:val="none"/>
          <w:lang w:val="en-US" w:eastAsia="zh-CN" w:bidi="ar-SA"/>
        </w:rPr>
        <w:fldChar w:fldCharType="end"/>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p>
    <w:p>
      <w:pPr>
        <w:adjustRightInd w:val="0"/>
        <w:snapToGrid w:val="0"/>
        <w:spacing w:line="360" w:lineRule="auto"/>
        <w:ind w:firstLine="600"/>
        <w:rPr>
          <w:rFonts w:ascii="Times New Roman" w:hAnsi="Times New Roman" w:eastAsia="黑体"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Group 1149" o:spid="_x0000_s1028" style="position:absolute;left:0;margin-left:-13.25pt;margin-top:14.1pt;height:586.05pt;width:446.05pt;rotation:0f;z-index:251658240;" coordorigin="0,0" coordsize="8921,11721">
            <o:lock v:ext="edit" position="f" selection="f" grouping="f" rotation="f" cropping="f" text="f" aspectratio="f"/>
            <v:rect id="Rectangle 1150" o:spid="_x0000_s1029"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151" o:spid="_x0000_s1030"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152" o:spid="_x0000_s1031"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153" o:spid="_x0000_s1032"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54" o:spid="_x0000_s1033"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55" o:spid="_x0000_s1034"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56" o:spid="_x0000_s1035"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57" o:spid="_x0000_s1036"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58" o:spid="_x0000_s1037" style="position:absolute;left:0;top:0;height:7693;width:8921;rotation:0f;" coordorigin="0,0" coordsize="8921,7693">
              <o:lock v:ext="edit" position="f" selection="f" grouping="f" rotation="f" cropping="f" text="f" aspectratio="f"/>
              <v:shape id="AutoShape 1159" o:spid="_x0000_s1038"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160" o:spid="_x0000_s1039" style="position:absolute;left:0;top:0;height:7693;width:8921;rotation:0f;" coordorigin="0,0" coordsize="8921,7693">
                <o:lock v:ext="edit" position="f" selection="f" grouping="f" rotation="f" cropping="f" text="f" aspectratio="f"/>
                <v:shape id="AutoShape 1161" o:spid="_x0000_s1040"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162" o:spid="_x0000_s1041"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163" o:spid="_x0000_s1042"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164" o:spid="_x0000_s1043"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165" o:spid="_x0000_s1044"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166" o:spid="_x0000_s1045"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167" o:spid="_x0000_s1046"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168" o:spid="_x0000_s1047"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169" o:spid="_x0000_s1048" style="position:absolute;left:0;top:0;height:7424;width:4594;rotation:0f;" coordorigin="0,0" coordsize="4594,7424">
                  <o:lock v:ext="edit" position="f" selection="f" grouping="f" rotation="f" cropping="f" text="f" aspectratio="f"/>
                  <v:shape id="AutoShape 1170" o:spid="_x0000_s1049"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71" o:spid="_x0000_s1050"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72" o:spid="_x0000_s1051" style="position:absolute;left:0;top:0;height:3986;width:3629;rotation:0f;" coordorigin="0,0" coordsize="3629,3986">
                    <o:lock v:ext="edit" position="f" selection="f" grouping="f" rotation="f" cropping="f" text="f" aspectratio="f"/>
                    <v:shape id="AutoShape 1173" o:spid="_x0000_s1052"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74" o:spid="_x0000_s1053"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75" o:spid="_x0000_s1054"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176" o:spid="_x0000_s1055"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177" o:spid="_x0000_s1056"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78" o:spid="_x0000_s1057"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79" o:spid="_x0000_s1058"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180" o:spid="_x0000_s1059"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181" o:spid="_x0000_s1060"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182" o:spid="_x0000_s1061"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附录二</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1．问：对于担保人在境内、债务人在境外的其他形式的跨境担保，担保履约后构成对外债权的，是否应当办理对外债权登记。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答：应当办理。</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2．问：境内银行发生内保外贷履约，如有反担保人，是否应当办理对外债权登记，由谁来申请？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答：境内银行发生内保外贷履约，如有反担保人，应由反担保人申请办理对外债权登记。</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3．问：银行</w:t>
      </w:r>
      <w:r>
        <w:rPr>
          <w:rFonts w:ascii="Times New Roman" w:hAnsi="Times New Roman" w:eastAsia="仿宋_GB2312" w:cs="Times New Roman"/>
          <w:kern w:val="0"/>
          <w:sz w:val="30"/>
          <w:szCs w:val="30"/>
        </w:rPr>
        <w:t>银行发生内保外贷担保履约的</w:t>
      </w:r>
      <w:r>
        <w:rPr>
          <w:rFonts w:ascii="Times New Roman" w:hAnsi="Times New Roman" w:eastAsia="仿宋_GB2312" w:cs="Times New Roman"/>
          <w:sz w:val="30"/>
          <w:szCs w:val="30"/>
        </w:rPr>
        <w:t>，应注意什么问题？</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答：银行发生内保外贷担保履约的，相关结售汇纳入银行自身结售汇管理。《国家外汇管理局关于进一步推进外汇管理改革完善真实合规性审核的通知》（汇发〔2017〕3号）实施后银行新提供的内保外贷，如果发生担保项下主债务违约，银行应先使用自有资金履约，不得以反担保资金直接购汇履约；银行履约后造成本外币资金不匹配的，需经所在地外汇分局资本项目管理部门备案后办理结售汇相关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4．问：境内企业发生内保外贷履约形成对外债权的，其对外债权余额是否应纳入该企业境外放款额度管理？</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答：境内企业发生内保外贷履约形成对外债权的，其对外债权余额应纳入该企业境外放款额度管理。境内企业内保外贷履约对外债权余额与该企业境外放款余额之和不得超过该企业所有者权益的30%；如果超过30%，可以先为该企业办理对外债权登记，但在对外债权余额与境外放款余额之和恢复到该企业所有者权益的30%以内之前，未经外汇局批准，该企业不得办理新的境外放款业务。</w: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2</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3</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11644894">
    <w:nsid w:val="600FBFDE"/>
    <w:multiLevelType w:val="singleLevel"/>
    <w:tmpl w:val="600FBFDE"/>
    <w:lvl w:ilvl="0" w:tentative="1">
      <w:start w:val="15"/>
      <w:numFmt w:val="chineseCounting"/>
      <w:suff w:val="nothing"/>
      <w:lvlText w:val="（%1）"/>
      <w:lvlJc w:val="left"/>
    </w:lvl>
  </w:abstractNum>
  <w:num w:numId="1">
    <w:abstractNumId w:val="16116448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2563F"/>
    <w:rsid w:val="00041960"/>
    <w:rsid w:val="00042B58"/>
    <w:rsid w:val="00054B00"/>
    <w:rsid w:val="00055270"/>
    <w:rsid w:val="0006560A"/>
    <w:rsid w:val="00072F8A"/>
    <w:rsid w:val="000750C8"/>
    <w:rsid w:val="0007570E"/>
    <w:rsid w:val="00080630"/>
    <w:rsid w:val="00091661"/>
    <w:rsid w:val="00092D53"/>
    <w:rsid w:val="00092E02"/>
    <w:rsid w:val="00096CBB"/>
    <w:rsid w:val="00097F7B"/>
    <w:rsid w:val="000A4B83"/>
    <w:rsid w:val="000B6901"/>
    <w:rsid w:val="000B728B"/>
    <w:rsid w:val="000C15B3"/>
    <w:rsid w:val="000C2B33"/>
    <w:rsid w:val="000D1995"/>
    <w:rsid w:val="000D7478"/>
    <w:rsid w:val="0012271F"/>
    <w:rsid w:val="00130519"/>
    <w:rsid w:val="00135BEE"/>
    <w:rsid w:val="0014667A"/>
    <w:rsid w:val="00154B58"/>
    <w:rsid w:val="00157C64"/>
    <w:rsid w:val="00157E81"/>
    <w:rsid w:val="00170126"/>
    <w:rsid w:val="00177059"/>
    <w:rsid w:val="00180135"/>
    <w:rsid w:val="00181D3E"/>
    <w:rsid w:val="0018645B"/>
    <w:rsid w:val="00192486"/>
    <w:rsid w:val="00196FAE"/>
    <w:rsid w:val="001A3E49"/>
    <w:rsid w:val="001A72AA"/>
    <w:rsid w:val="001B1E2C"/>
    <w:rsid w:val="001C44C7"/>
    <w:rsid w:val="001D65A2"/>
    <w:rsid w:val="001E1407"/>
    <w:rsid w:val="001E3099"/>
    <w:rsid w:val="001F4BD4"/>
    <w:rsid w:val="001F7297"/>
    <w:rsid w:val="00205D07"/>
    <w:rsid w:val="00212F39"/>
    <w:rsid w:val="00217116"/>
    <w:rsid w:val="00231EED"/>
    <w:rsid w:val="0023368C"/>
    <w:rsid w:val="00233841"/>
    <w:rsid w:val="00235F24"/>
    <w:rsid w:val="002417D2"/>
    <w:rsid w:val="00241FE8"/>
    <w:rsid w:val="0024527E"/>
    <w:rsid w:val="00253F7B"/>
    <w:rsid w:val="00263B1F"/>
    <w:rsid w:val="002915D6"/>
    <w:rsid w:val="00291C17"/>
    <w:rsid w:val="0029313A"/>
    <w:rsid w:val="002B0B1C"/>
    <w:rsid w:val="002B598D"/>
    <w:rsid w:val="002B61C1"/>
    <w:rsid w:val="002C0B13"/>
    <w:rsid w:val="002C0FF3"/>
    <w:rsid w:val="002E1323"/>
    <w:rsid w:val="002F1C6E"/>
    <w:rsid w:val="002F3868"/>
    <w:rsid w:val="00302119"/>
    <w:rsid w:val="00302E87"/>
    <w:rsid w:val="00310261"/>
    <w:rsid w:val="00312CA6"/>
    <w:rsid w:val="00343044"/>
    <w:rsid w:val="00344B01"/>
    <w:rsid w:val="00353AC4"/>
    <w:rsid w:val="003570D7"/>
    <w:rsid w:val="003616B4"/>
    <w:rsid w:val="00383001"/>
    <w:rsid w:val="00387F6E"/>
    <w:rsid w:val="00395E56"/>
    <w:rsid w:val="003A57B2"/>
    <w:rsid w:val="003B05BF"/>
    <w:rsid w:val="003C7132"/>
    <w:rsid w:val="003D77A5"/>
    <w:rsid w:val="003E6BF6"/>
    <w:rsid w:val="003F221D"/>
    <w:rsid w:val="003F3097"/>
    <w:rsid w:val="003F6213"/>
    <w:rsid w:val="00402AE8"/>
    <w:rsid w:val="00405FE6"/>
    <w:rsid w:val="004105BC"/>
    <w:rsid w:val="00421C27"/>
    <w:rsid w:val="00440A1F"/>
    <w:rsid w:val="00443603"/>
    <w:rsid w:val="00443604"/>
    <w:rsid w:val="004472DB"/>
    <w:rsid w:val="004501EA"/>
    <w:rsid w:val="004504C7"/>
    <w:rsid w:val="00460458"/>
    <w:rsid w:val="0046792D"/>
    <w:rsid w:val="004767DF"/>
    <w:rsid w:val="00487F57"/>
    <w:rsid w:val="0049008B"/>
    <w:rsid w:val="00493CCC"/>
    <w:rsid w:val="004A01C7"/>
    <w:rsid w:val="004A0218"/>
    <w:rsid w:val="004A7840"/>
    <w:rsid w:val="004B545A"/>
    <w:rsid w:val="004B7E80"/>
    <w:rsid w:val="004C457E"/>
    <w:rsid w:val="004C48D5"/>
    <w:rsid w:val="004D03B7"/>
    <w:rsid w:val="004D1436"/>
    <w:rsid w:val="004D1CAF"/>
    <w:rsid w:val="004D57AE"/>
    <w:rsid w:val="005056D4"/>
    <w:rsid w:val="00507B04"/>
    <w:rsid w:val="00526B2B"/>
    <w:rsid w:val="00526BF1"/>
    <w:rsid w:val="005362B0"/>
    <w:rsid w:val="00542447"/>
    <w:rsid w:val="00564312"/>
    <w:rsid w:val="005A2981"/>
    <w:rsid w:val="005C6937"/>
    <w:rsid w:val="005C7F02"/>
    <w:rsid w:val="005F0A86"/>
    <w:rsid w:val="005F144A"/>
    <w:rsid w:val="005F1C00"/>
    <w:rsid w:val="00605BF9"/>
    <w:rsid w:val="00607F26"/>
    <w:rsid w:val="0061621E"/>
    <w:rsid w:val="00630AA8"/>
    <w:rsid w:val="00630B2E"/>
    <w:rsid w:val="00640F76"/>
    <w:rsid w:val="00643D2A"/>
    <w:rsid w:val="00651530"/>
    <w:rsid w:val="00664E11"/>
    <w:rsid w:val="00673B30"/>
    <w:rsid w:val="00674A78"/>
    <w:rsid w:val="00693524"/>
    <w:rsid w:val="00696E5D"/>
    <w:rsid w:val="00697F1B"/>
    <w:rsid w:val="006A252F"/>
    <w:rsid w:val="006B5B86"/>
    <w:rsid w:val="006C5908"/>
    <w:rsid w:val="006C633E"/>
    <w:rsid w:val="006D734F"/>
    <w:rsid w:val="006E043F"/>
    <w:rsid w:val="006E4695"/>
    <w:rsid w:val="006E4B8B"/>
    <w:rsid w:val="006E5901"/>
    <w:rsid w:val="0071091C"/>
    <w:rsid w:val="00714961"/>
    <w:rsid w:val="00743987"/>
    <w:rsid w:val="00744BD5"/>
    <w:rsid w:val="00745748"/>
    <w:rsid w:val="00750369"/>
    <w:rsid w:val="00750E36"/>
    <w:rsid w:val="00753CB0"/>
    <w:rsid w:val="00755460"/>
    <w:rsid w:val="007612D9"/>
    <w:rsid w:val="00761FB7"/>
    <w:rsid w:val="00762107"/>
    <w:rsid w:val="00764CB9"/>
    <w:rsid w:val="00765B05"/>
    <w:rsid w:val="0078225F"/>
    <w:rsid w:val="00785F45"/>
    <w:rsid w:val="00793EE7"/>
    <w:rsid w:val="007A2780"/>
    <w:rsid w:val="007A68EA"/>
    <w:rsid w:val="007B06FC"/>
    <w:rsid w:val="007B0FEF"/>
    <w:rsid w:val="007B2DB5"/>
    <w:rsid w:val="007C4AD9"/>
    <w:rsid w:val="007D2C11"/>
    <w:rsid w:val="007D6171"/>
    <w:rsid w:val="007D69EA"/>
    <w:rsid w:val="007E2C7B"/>
    <w:rsid w:val="007E411B"/>
    <w:rsid w:val="007F0863"/>
    <w:rsid w:val="007F2F3B"/>
    <w:rsid w:val="007F354C"/>
    <w:rsid w:val="00802307"/>
    <w:rsid w:val="0082168E"/>
    <w:rsid w:val="00821968"/>
    <w:rsid w:val="008471B6"/>
    <w:rsid w:val="00851521"/>
    <w:rsid w:val="0085686A"/>
    <w:rsid w:val="0086077B"/>
    <w:rsid w:val="0086084D"/>
    <w:rsid w:val="00860878"/>
    <w:rsid w:val="008731FF"/>
    <w:rsid w:val="0088294A"/>
    <w:rsid w:val="0089282A"/>
    <w:rsid w:val="008A4538"/>
    <w:rsid w:val="008A704B"/>
    <w:rsid w:val="008B08D2"/>
    <w:rsid w:val="008B4EE5"/>
    <w:rsid w:val="008B5807"/>
    <w:rsid w:val="008D5FA0"/>
    <w:rsid w:val="008E2D38"/>
    <w:rsid w:val="008F5724"/>
    <w:rsid w:val="008F7910"/>
    <w:rsid w:val="00902633"/>
    <w:rsid w:val="009027D8"/>
    <w:rsid w:val="0090372F"/>
    <w:rsid w:val="009110E8"/>
    <w:rsid w:val="00911E27"/>
    <w:rsid w:val="0092129A"/>
    <w:rsid w:val="00925BB2"/>
    <w:rsid w:val="00930C8C"/>
    <w:rsid w:val="009360EA"/>
    <w:rsid w:val="00947C57"/>
    <w:rsid w:val="00951149"/>
    <w:rsid w:val="00960EDB"/>
    <w:rsid w:val="009622DB"/>
    <w:rsid w:val="009664BC"/>
    <w:rsid w:val="00967291"/>
    <w:rsid w:val="00980F02"/>
    <w:rsid w:val="00991B77"/>
    <w:rsid w:val="00997523"/>
    <w:rsid w:val="009A0C5D"/>
    <w:rsid w:val="009C4672"/>
    <w:rsid w:val="009C491B"/>
    <w:rsid w:val="009D0911"/>
    <w:rsid w:val="009D24F8"/>
    <w:rsid w:val="009D688C"/>
    <w:rsid w:val="009F7A36"/>
    <w:rsid w:val="00A249C2"/>
    <w:rsid w:val="00A24FAB"/>
    <w:rsid w:val="00A301E7"/>
    <w:rsid w:val="00A42E69"/>
    <w:rsid w:val="00A45CA7"/>
    <w:rsid w:val="00A51415"/>
    <w:rsid w:val="00A6014E"/>
    <w:rsid w:val="00A60356"/>
    <w:rsid w:val="00A81DF1"/>
    <w:rsid w:val="00A90EF3"/>
    <w:rsid w:val="00AA7717"/>
    <w:rsid w:val="00AB131E"/>
    <w:rsid w:val="00AB644F"/>
    <w:rsid w:val="00AC3F5E"/>
    <w:rsid w:val="00AE0729"/>
    <w:rsid w:val="00AE7ACF"/>
    <w:rsid w:val="00AF5675"/>
    <w:rsid w:val="00AF5DE3"/>
    <w:rsid w:val="00B06409"/>
    <w:rsid w:val="00B17D66"/>
    <w:rsid w:val="00B35D3A"/>
    <w:rsid w:val="00B422F1"/>
    <w:rsid w:val="00B4612F"/>
    <w:rsid w:val="00B57468"/>
    <w:rsid w:val="00B71531"/>
    <w:rsid w:val="00B7456C"/>
    <w:rsid w:val="00B84131"/>
    <w:rsid w:val="00B8630E"/>
    <w:rsid w:val="00B931F4"/>
    <w:rsid w:val="00B94020"/>
    <w:rsid w:val="00B95573"/>
    <w:rsid w:val="00B96395"/>
    <w:rsid w:val="00BA2AF8"/>
    <w:rsid w:val="00BB2650"/>
    <w:rsid w:val="00BB5BDC"/>
    <w:rsid w:val="00BB7B76"/>
    <w:rsid w:val="00BD233D"/>
    <w:rsid w:val="00BF4EF0"/>
    <w:rsid w:val="00C02E44"/>
    <w:rsid w:val="00C062E2"/>
    <w:rsid w:val="00C147D2"/>
    <w:rsid w:val="00C2075F"/>
    <w:rsid w:val="00C23799"/>
    <w:rsid w:val="00C274C9"/>
    <w:rsid w:val="00C31E02"/>
    <w:rsid w:val="00C51F1A"/>
    <w:rsid w:val="00C54291"/>
    <w:rsid w:val="00C672C3"/>
    <w:rsid w:val="00C712B2"/>
    <w:rsid w:val="00C97FED"/>
    <w:rsid w:val="00CA1DBB"/>
    <w:rsid w:val="00CA2622"/>
    <w:rsid w:val="00CA7F2C"/>
    <w:rsid w:val="00CA7FF8"/>
    <w:rsid w:val="00CB5DE7"/>
    <w:rsid w:val="00CC068D"/>
    <w:rsid w:val="00CC4922"/>
    <w:rsid w:val="00CD1FF6"/>
    <w:rsid w:val="00CD4015"/>
    <w:rsid w:val="00CE25C7"/>
    <w:rsid w:val="00CE3335"/>
    <w:rsid w:val="00CE4849"/>
    <w:rsid w:val="00CE5C8E"/>
    <w:rsid w:val="00CE5F49"/>
    <w:rsid w:val="00CF07CA"/>
    <w:rsid w:val="00D01626"/>
    <w:rsid w:val="00D1633D"/>
    <w:rsid w:val="00D3357D"/>
    <w:rsid w:val="00D33A4D"/>
    <w:rsid w:val="00D33F76"/>
    <w:rsid w:val="00D41F5E"/>
    <w:rsid w:val="00D43DC0"/>
    <w:rsid w:val="00D54E56"/>
    <w:rsid w:val="00D56F1C"/>
    <w:rsid w:val="00D6407D"/>
    <w:rsid w:val="00D93E78"/>
    <w:rsid w:val="00DA2752"/>
    <w:rsid w:val="00DA292C"/>
    <w:rsid w:val="00DC30C4"/>
    <w:rsid w:val="00DC6E91"/>
    <w:rsid w:val="00DC7514"/>
    <w:rsid w:val="00DD3845"/>
    <w:rsid w:val="00DE2AE2"/>
    <w:rsid w:val="00E06E9C"/>
    <w:rsid w:val="00E1687A"/>
    <w:rsid w:val="00E20A2E"/>
    <w:rsid w:val="00E277DE"/>
    <w:rsid w:val="00E27EE9"/>
    <w:rsid w:val="00E3239D"/>
    <w:rsid w:val="00E32C95"/>
    <w:rsid w:val="00E3439B"/>
    <w:rsid w:val="00E42C5F"/>
    <w:rsid w:val="00E65A1B"/>
    <w:rsid w:val="00E72F1F"/>
    <w:rsid w:val="00E934AB"/>
    <w:rsid w:val="00EA06AC"/>
    <w:rsid w:val="00EA08BF"/>
    <w:rsid w:val="00EA24FB"/>
    <w:rsid w:val="00EB3204"/>
    <w:rsid w:val="00EB50BA"/>
    <w:rsid w:val="00EC3D33"/>
    <w:rsid w:val="00ED302A"/>
    <w:rsid w:val="00ED3A42"/>
    <w:rsid w:val="00EE02BC"/>
    <w:rsid w:val="00EE6970"/>
    <w:rsid w:val="00EE7084"/>
    <w:rsid w:val="00EF2A1D"/>
    <w:rsid w:val="00EF38D0"/>
    <w:rsid w:val="00EF3DDF"/>
    <w:rsid w:val="00EF4A8C"/>
    <w:rsid w:val="00F013C9"/>
    <w:rsid w:val="00F2678C"/>
    <w:rsid w:val="00F27B38"/>
    <w:rsid w:val="00F40278"/>
    <w:rsid w:val="00F41832"/>
    <w:rsid w:val="00F448A3"/>
    <w:rsid w:val="00F56988"/>
    <w:rsid w:val="00F620FB"/>
    <w:rsid w:val="00F624BD"/>
    <w:rsid w:val="00F6571F"/>
    <w:rsid w:val="00F8687E"/>
    <w:rsid w:val="00F93331"/>
    <w:rsid w:val="00F9354B"/>
    <w:rsid w:val="00F95549"/>
    <w:rsid w:val="00FA1E24"/>
    <w:rsid w:val="00FA24FB"/>
    <w:rsid w:val="00FA632B"/>
    <w:rsid w:val="00FB38EA"/>
    <w:rsid w:val="00FB5E0F"/>
    <w:rsid w:val="00FB6AFF"/>
    <w:rsid w:val="00FC4D8F"/>
    <w:rsid w:val="00FD06D3"/>
    <w:rsid w:val="00FE3157"/>
    <w:rsid w:val="00FE6865"/>
    <w:rsid w:val="00FE6993"/>
    <w:rsid w:val="1AE2558B"/>
    <w:rsid w:val="2AE068B6"/>
    <w:rsid w:val="3A9120A8"/>
    <w:rsid w:val="4F633271"/>
    <w:rsid w:val="60413E28"/>
    <w:rsid w:val="681330C7"/>
    <w:rsid w:val="707D4BEB"/>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153"/>
        <o:r id="V:Rule2" type="connector" idref="#AutoShape 1154"/>
        <o:r id="V:Rule3" type="connector" idref="#AutoShape 1155"/>
        <o:r id="V:Rule4" type="connector" idref="#AutoShape 1156"/>
        <o:r id="V:Rule5" type="connector" idref="#AutoShape 1157"/>
        <o:r id="V:Rule6" type="connector" idref="#AutoShape 1159"/>
        <o:r id="V:Rule7" type="connector" idref="#AutoShape 1161"/>
        <o:r id="V:Rule8" type="connector" idref="#AutoShape 1163"/>
        <o:r id="V:Rule9" type="connector" idref="#AutoShape 1170"/>
        <o:r id="V:Rule10" type="connector" idref="#AutoShape 1171"/>
        <o:r id="V:Rule11" type="connector" idref="#AutoShape 1173"/>
        <o:r id="V:Rule12" type="connector" idref="#AutoShape 1174"/>
        <o:r id="V:Rule13" type="connector" idref="#AutoShape 1177"/>
        <o:r id="V:Rule14" type="connector" idref="#AutoShape 1178"/>
        <o:r id="V:Rule15" type="connector" idref="#AutoShape 1179"/>
        <o:r id="V:Rule16" type="connector" idref="#AutoShape 1182"/>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qFormat/>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99"/>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qFormat/>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uiPriority w:val="0"/>
    <w:rPr>
      <w:rFonts w:ascii="Calibri" w:hAnsi="Calibri" w:eastAsia="宋体" w:cs="Times New Roman"/>
    </w:rPr>
  </w:style>
  <w:style w:type="character" w:customStyle="1" w:styleId="32">
    <w:name w:val="标题 1 Char"/>
    <w:basedOn w:val="13"/>
    <w:link w:val="2"/>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numbering" Target="numbering.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348</Words>
  <Characters>1985</Characters>
  <Lines>16</Lines>
  <Paragraphs>4</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2020-03-17T08:13:00Z</dcterms:created>
  <dc:creator>裴建君2</dc:creator>
  <cp:lastModifiedBy>孙保民</cp:lastModifiedBy>
  <cp:lastPrinted>2017-11-24T00:22:00Z</cp:lastPrinted>
  <dcterms:modified xsi:type="dcterms:W3CDTF">2021-02-07T07:51:55Z</dcterms:modified>
  <dc:title>编号：57007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