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编号：57016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“外币现钞提取、调运和携带出境审核”行政审批服务指南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宁夏回族自治区分局</w:t>
      </w:r>
    </w:p>
    <w:p>
      <w:pPr>
        <w:ind w:right="300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仿宋_GB2312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  <w:sectPr>
          <w:footerReference r:id="rId5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项目名称：外币现钞提取、调运和携带出境审核；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项目编号：57016；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本指南适用于“外币现钞提取、调运和携带出境审核”的申请和办理。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（一）《中华人民共和国外汇管理条例》（国务院令第532号）第十五条：“携带、申报外币现钞出入境的限额，由国务院外汇管理部门规定”；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（二）《国务院对确需保留的行政审批项目设定行政许可的决定》（国务院令第412号）附件第495项“机构单笔提取超过规定金额外币现钞审批”。</w:t>
      </w:r>
    </w:p>
    <w:p>
      <w:pPr>
        <w:adjustRightInd w:val="0"/>
        <w:snapToGrid w:val="0"/>
        <w:spacing w:line="360" w:lineRule="auto"/>
        <w:ind w:firstLine="450" w:firstLineChars="15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</w:t>
      </w:r>
      <w:r>
        <w:rPr>
          <w:rFonts w:hint="eastAsia" w:ascii="Times New Roman" w:hAnsi="Times New Roman" w:eastAsia="黑体" w:cs="Times New Roman"/>
          <w:sz w:val="30"/>
          <w:szCs w:val="30"/>
        </w:rPr>
        <w:t>服务贸易项下</w:t>
      </w:r>
      <w:r>
        <w:rPr>
          <w:rFonts w:ascii="Times New Roman" w:hAnsi="Times New Roman" w:eastAsia="黑体" w:cs="Times New Roman"/>
          <w:sz w:val="30"/>
          <w:szCs w:val="30"/>
        </w:rPr>
        <w:t>外币现钞提取审批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1.</w:t>
      </w:r>
      <w:r>
        <w:rPr>
          <w:rFonts w:ascii="Times New Roman" w:hAnsi="Times New Roman" w:eastAsia="仿宋_GB2312" w:cs="Times New Roman"/>
          <w:sz w:val="30"/>
          <w:szCs w:val="30"/>
        </w:rPr>
        <w:t>《国家外汇管理局关于印发〈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经常项目外汇业务指引（2020年版）</w:t>
      </w:r>
      <w:r>
        <w:rPr>
          <w:rFonts w:ascii="Times New Roman" w:hAnsi="Times New Roman" w:eastAsia="仿宋_GB2312" w:cs="Times New Roman"/>
          <w:sz w:val="30"/>
          <w:szCs w:val="30"/>
        </w:rPr>
        <w:t>〉的通知》（汇发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2020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〕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14号</w:t>
      </w:r>
      <w:r>
        <w:rPr>
          <w:rFonts w:ascii="Times New Roman" w:hAnsi="Times New Roman" w:eastAsia="仿宋_GB2312" w:cs="Times New Roman"/>
          <w:sz w:val="30"/>
          <w:szCs w:val="30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申请人为境内机构，有提取外币现钞交易的真实性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、合法性</w:t>
      </w:r>
      <w:r>
        <w:rPr>
          <w:rFonts w:ascii="Times New Roman" w:hAnsi="Times New Roman" w:eastAsia="仿宋_GB2312" w:cs="Times New Roman"/>
          <w:sz w:val="30"/>
          <w:szCs w:val="30"/>
        </w:rPr>
        <w:t>和必要性。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（六）申请材料</w:t>
      </w:r>
    </w:p>
    <w:tbl>
      <w:tblPr>
        <w:tblStyle w:val="1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770"/>
        <w:gridCol w:w="1134"/>
        <w:gridCol w:w="992"/>
        <w:gridCol w:w="1134"/>
        <w:gridCol w:w="1669"/>
        <w:gridCol w:w="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交易真实性、合法性和必要性的说明材料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如申请人需保留原件，原件验后退申请人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申请人可通过国家外汇管理局分支局窗口提交材料。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4.对于符合规定条件予以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当场决定：申请人使用外币现钞的时间较为紧急且申请材料完整符合法规要求，分支局经过规定的内部审批程序，可当场出具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准文件。当场出具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准文件的，可不出具受理通知书。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（十五）咨询途径、监督和投诉、公开查询等由所在地分支局办理</w:t>
      </w:r>
    </w:p>
    <w:p>
      <w:pPr>
        <w:ind w:firstLine="6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（一）咨询窗口：国家外汇管理局宁夏回族自治区分局外汇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管理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处。</w:t>
      </w:r>
    </w:p>
    <w:p>
      <w:pPr>
        <w:ind w:firstLine="6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（二）咨询电话：（0951）518960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ind w:firstLine="6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（三）咨询信件邮寄地址：宁夏回族自治区银川市兴庆区北京东路215号外汇管理处，邮政编码750001。</w:t>
      </w:r>
    </w:p>
    <w:p>
      <w:pPr>
        <w:ind w:firstLine="6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监督和投诉等可通过国家外汇管理局宁夏回族自治区分局网站www.safe.gov.cn/ningxia/的投诉建议栏目进行,也可通过该网站公布的电话进行。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前审后批。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（十七）办公地址和时间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国家外汇局管理局宁夏回族自治区分局办公地址：宁夏回族自治区银川市兴庆区北京东路215号，邮政编码750001。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国家外汇局管理局宁夏分局办公时间：周一至周五，夏季上午08:30到12:00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下午14:30到18:00；冬季上午08:30到12:00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下午14:00到17:30；周六、周日及法定节假日不对外办理业务。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乘车路线：公交车101、101A、19、18路公交线路经停，可在临湖小区站上/下车。</w:t>
      </w:r>
    </w:p>
    <w:p>
      <w:pPr>
        <w:ind w:right="600"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sz w:val="30"/>
          <w:szCs w:val="30"/>
        </w:rPr>
        <w:t>（十八）常见问题解答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受理后几个工作日能办结？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按照法规要求，正式受理后，</w:t>
      </w:r>
      <w:r>
        <w:rPr>
          <w:rFonts w:ascii="Times New Roman" w:hAnsi="Times New Roman" w:eastAsia="仿宋_GB2312" w:cs="Times New Roman"/>
          <w:sz w:val="30"/>
          <w:szCs w:val="30"/>
        </w:rPr>
        <w:t>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个工作日内可以批复。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（十九）常见错误示例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汇路通畅，但申请提取外币现钞。</w:t>
      </w:r>
    </w:p>
    <w:p>
      <w:pPr>
        <w:ind w:right="300" w:firstLine="6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6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adjustRightInd w:val="0"/>
        <w:snapToGrid w:val="0"/>
        <w:spacing w:line="360" w:lineRule="auto"/>
        <w:ind w:firstLine="585"/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group id="Group 28" o:spid="_x0000_s1027" style="position:absolute;left:0;margin-left:-37.5pt;margin-top:34.6pt;height:473.85pt;width:461.45pt;rotation:0f;z-index:251658240;" coordorigin="1050,3380" coordsize="9229,9477">
            <o:lock v:ext="edit" position="f" selection="f" grouping="f" rotation="f" cropping="f" text="f" aspectratio="f"/>
            <v:shape id="AutoShape 329" o:spid="_x0000_s1028" type="#_x0000_t32" style="position:absolute;left:2612;top:4552;height:1468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0" o:spid="_x0000_s1029" type="#_x0000_t32" style="position:absolute;left:4275;top:5903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1" o:spid="_x0000_s1030" type="#_x0000_t32" style="position:absolute;left:4275;top:6752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2" o:spid="_x0000_s1031" type="#_x0000_t32" style="position:absolute;left:8707;top:5320;flip:y;height:89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3" o:spid="_x0000_s1032" type="#_x0000_t32" style="position:absolute;left:2629;top:5005;flip:x;height:1;width:4643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4" o:spid="_x0000_s1033" type="#_x0000_t32" style="position:absolute;left:5002;top:9276;height:437;width:0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5" o:spid="_x0000_s1034" type="#_x0000_t32" style="position:absolute;left:4986;top:11195;height:90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6" o:spid="_x0000_s1035" type="#_x0000_t32" style="position:absolute;left:2627;top:7405;height:1391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337" o:spid="_x0000_s1036" type="#_x0000_t32" style="position:absolute;left:2627;top:8811;height:0;width:82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8" o:spid="_x0000_s1037" type="#_x0000_t110" style="position:absolute;left:1050;top:5387;height:2007;width:31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AutoShape 339" o:spid="_x0000_s1038" type="#_x0000_t32" style="position:absolute;left:4290;top:5933;height:804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rect id="Rectangle 341" o:spid="_x0000_s1039" style="position:absolute;left:7272;top:4573;height:720;width:2929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ect>
            <v:shape id="AutoShape 342" o:spid="_x0000_s1040" type="#_x0000_t109" style="position:absolute;left:4839;top:5591;height:587;width:544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Rectangle 343" o:spid="_x0000_s1041" style="position:absolute;left:4839;top:6592;height:811;width:544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AutoShape 344" o:spid="_x0000_s1042" type="#_x0000_t109" style="position:absolute;left:3452;top:8461;height:815;width:32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</w:txbxContent>
              </v:textbox>
            </v:shape>
            <v:shape id="AutoShape 345" o:spid="_x0000_s1043" type="#_x0000_t110" style="position:absolute;left:3456;top:9713;height:1444;width:306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AutoShape 346" o:spid="_x0000_s1044" type="#_x0000_t109" style="position:absolute;left:3452;top:12100;height:757;width:298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/>
                </w:txbxContent>
              </v:textbox>
            </v:shape>
            <v:shape id="AutoShape 347" o:spid="_x0000_s1045" type="#_x0000_t109" style="position:absolute;left:7786;top:10041;height:766;width:2298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/>
                </w:txbxContent>
              </v:textbox>
            </v:shape>
            <v:shape id="AutoShape 348" o:spid="_x0000_s1046" type="#_x0000_t32" style="position:absolute;left:6520;top:10422;flip:y;height:15;width:1266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49" o:spid="_x0000_s1047" type="#_x0000_t116" style="position:absolute;left:1478;top:3380;height:1172;width:246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申请人现场提交材料</w:t>
                    </w:r>
                  </w:p>
                  <w:p/>
                </w:txbxContent>
              </v:textbox>
            </v:shape>
            <v:shape id="Straight Connector 49" o:spid="_x0000_s1048" type="#_x0000_t32" style="position:absolute;left:4177;top:6405;height:0;width:98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</w:p>
    <w:sectPr>
      <w:footerReference r:id="rId7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07600"/>
    <w:rsid w:val="00022191"/>
    <w:rsid w:val="00023783"/>
    <w:rsid w:val="00041960"/>
    <w:rsid w:val="00042B58"/>
    <w:rsid w:val="00054B00"/>
    <w:rsid w:val="00055270"/>
    <w:rsid w:val="0005585E"/>
    <w:rsid w:val="00057F76"/>
    <w:rsid w:val="00062323"/>
    <w:rsid w:val="00064E9E"/>
    <w:rsid w:val="0006560A"/>
    <w:rsid w:val="00072F8A"/>
    <w:rsid w:val="000750C8"/>
    <w:rsid w:val="00080630"/>
    <w:rsid w:val="00091661"/>
    <w:rsid w:val="00092D53"/>
    <w:rsid w:val="00096CBB"/>
    <w:rsid w:val="00097F7B"/>
    <w:rsid w:val="000B1B41"/>
    <w:rsid w:val="000B6901"/>
    <w:rsid w:val="000B728B"/>
    <w:rsid w:val="000B7932"/>
    <w:rsid w:val="000C15B3"/>
    <w:rsid w:val="000C2B33"/>
    <w:rsid w:val="000D1995"/>
    <w:rsid w:val="000D7478"/>
    <w:rsid w:val="00120DFD"/>
    <w:rsid w:val="0012271F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86BC2"/>
    <w:rsid w:val="00196FAE"/>
    <w:rsid w:val="001A3E49"/>
    <w:rsid w:val="001A72AA"/>
    <w:rsid w:val="001A7FB9"/>
    <w:rsid w:val="001B09C8"/>
    <w:rsid w:val="001B1E2C"/>
    <w:rsid w:val="001C44C7"/>
    <w:rsid w:val="001D65A2"/>
    <w:rsid w:val="001E1407"/>
    <w:rsid w:val="001F08A9"/>
    <w:rsid w:val="001F4BD4"/>
    <w:rsid w:val="001F7297"/>
    <w:rsid w:val="00205D07"/>
    <w:rsid w:val="00212F39"/>
    <w:rsid w:val="00217116"/>
    <w:rsid w:val="00231EED"/>
    <w:rsid w:val="00233841"/>
    <w:rsid w:val="002341AF"/>
    <w:rsid w:val="002343C8"/>
    <w:rsid w:val="00235736"/>
    <w:rsid w:val="00235F24"/>
    <w:rsid w:val="002417D2"/>
    <w:rsid w:val="00241FE8"/>
    <w:rsid w:val="0024527E"/>
    <w:rsid w:val="00253F7B"/>
    <w:rsid w:val="00263773"/>
    <w:rsid w:val="00263B1F"/>
    <w:rsid w:val="00281976"/>
    <w:rsid w:val="00291C17"/>
    <w:rsid w:val="0029313A"/>
    <w:rsid w:val="002A668C"/>
    <w:rsid w:val="002B0B1C"/>
    <w:rsid w:val="002B598D"/>
    <w:rsid w:val="002B61C1"/>
    <w:rsid w:val="002B7FB8"/>
    <w:rsid w:val="002E1323"/>
    <w:rsid w:val="002F2D2F"/>
    <w:rsid w:val="002F3868"/>
    <w:rsid w:val="00300EF5"/>
    <w:rsid w:val="00302119"/>
    <w:rsid w:val="00302E87"/>
    <w:rsid w:val="00307F23"/>
    <w:rsid w:val="00310261"/>
    <w:rsid w:val="00317654"/>
    <w:rsid w:val="00343044"/>
    <w:rsid w:val="00344B01"/>
    <w:rsid w:val="00353AC4"/>
    <w:rsid w:val="003616B4"/>
    <w:rsid w:val="00372FF6"/>
    <w:rsid w:val="00373EC0"/>
    <w:rsid w:val="003A090F"/>
    <w:rsid w:val="003A57B2"/>
    <w:rsid w:val="003B755F"/>
    <w:rsid w:val="003C0E26"/>
    <w:rsid w:val="003C7132"/>
    <w:rsid w:val="003D77A5"/>
    <w:rsid w:val="003E6BF6"/>
    <w:rsid w:val="003F221D"/>
    <w:rsid w:val="003F3097"/>
    <w:rsid w:val="00402AE8"/>
    <w:rsid w:val="00404C3E"/>
    <w:rsid w:val="00405FE6"/>
    <w:rsid w:val="004105BC"/>
    <w:rsid w:val="00420571"/>
    <w:rsid w:val="00421C27"/>
    <w:rsid w:val="00440A1F"/>
    <w:rsid w:val="00443603"/>
    <w:rsid w:val="00443604"/>
    <w:rsid w:val="004501EA"/>
    <w:rsid w:val="00452108"/>
    <w:rsid w:val="00460458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4E6A8C"/>
    <w:rsid w:val="005056D4"/>
    <w:rsid w:val="00526B2B"/>
    <w:rsid w:val="005362B0"/>
    <w:rsid w:val="00542447"/>
    <w:rsid w:val="00564312"/>
    <w:rsid w:val="005938DE"/>
    <w:rsid w:val="005A2981"/>
    <w:rsid w:val="005C3FAA"/>
    <w:rsid w:val="005C6937"/>
    <w:rsid w:val="005C7F02"/>
    <w:rsid w:val="005D3CC1"/>
    <w:rsid w:val="005E1B5C"/>
    <w:rsid w:val="005F0A86"/>
    <w:rsid w:val="005F144A"/>
    <w:rsid w:val="005F1C00"/>
    <w:rsid w:val="0061621E"/>
    <w:rsid w:val="00630AA8"/>
    <w:rsid w:val="00630B2E"/>
    <w:rsid w:val="00643D2A"/>
    <w:rsid w:val="0066041A"/>
    <w:rsid w:val="00662122"/>
    <w:rsid w:val="00664E11"/>
    <w:rsid w:val="00673B30"/>
    <w:rsid w:val="00695601"/>
    <w:rsid w:val="00696E5D"/>
    <w:rsid w:val="006A1A06"/>
    <w:rsid w:val="006B49E8"/>
    <w:rsid w:val="006B5B86"/>
    <w:rsid w:val="006C5908"/>
    <w:rsid w:val="006C633E"/>
    <w:rsid w:val="006D56AB"/>
    <w:rsid w:val="006D734F"/>
    <w:rsid w:val="006D74BC"/>
    <w:rsid w:val="006E043F"/>
    <w:rsid w:val="006E4695"/>
    <w:rsid w:val="006E4B8B"/>
    <w:rsid w:val="006E5901"/>
    <w:rsid w:val="0071091C"/>
    <w:rsid w:val="00714961"/>
    <w:rsid w:val="0072105E"/>
    <w:rsid w:val="00744BD5"/>
    <w:rsid w:val="00745748"/>
    <w:rsid w:val="0075038F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07F1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E4EC2"/>
    <w:rsid w:val="007F0863"/>
    <w:rsid w:val="007F2F3B"/>
    <w:rsid w:val="00802307"/>
    <w:rsid w:val="0082168E"/>
    <w:rsid w:val="00821968"/>
    <w:rsid w:val="00842B82"/>
    <w:rsid w:val="0084639E"/>
    <w:rsid w:val="008471B6"/>
    <w:rsid w:val="00851521"/>
    <w:rsid w:val="0085686A"/>
    <w:rsid w:val="00860878"/>
    <w:rsid w:val="008731FF"/>
    <w:rsid w:val="0087512C"/>
    <w:rsid w:val="0088294A"/>
    <w:rsid w:val="0089282A"/>
    <w:rsid w:val="008A4538"/>
    <w:rsid w:val="008A704B"/>
    <w:rsid w:val="008B08D2"/>
    <w:rsid w:val="008B4EE5"/>
    <w:rsid w:val="008B5807"/>
    <w:rsid w:val="008C3F8E"/>
    <w:rsid w:val="008D5FA0"/>
    <w:rsid w:val="008E2D38"/>
    <w:rsid w:val="008F11E4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A58EB"/>
    <w:rsid w:val="009C4672"/>
    <w:rsid w:val="009C491B"/>
    <w:rsid w:val="009D0911"/>
    <w:rsid w:val="009D24F8"/>
    <w:rsid w:val="009D29C7"/>
    <w:rsid w:val="009D688C"/>
    <w:rsid w:val="009F7A36"/>
    <w:rsid w:val="00A249C2"/>
    <w:rsid w:val="00A24FAB"/>
    <w:rsid w:val="00A27E4F"/>
    <w:rsid w:val="00A301E7"/>
    <w:rsid w:val="00A3068F"/>
    <w:rsid w:val="00A42E69"/>
    <w:rsid w:val="00A45CA7"/>
    <w:rsid w:val="00A51415"/>
    <w:rsid w:val="00A6014E"/>
    <w:rsid w:val="00A60356"/>
    <w:rsid w:val="00A66F2C"/>
    <w:rsid w:val="00A7644C"/>
    <w:rsid w:val="00A81DF1"/>
    <w:rsid w:val="00A90EF3"/>
    <w:rsid w:val="00AA7717"/>
    <w:rsid w:val="00AB131E"/>
    <w:rsid w:val="00AB644F"/>
    <w:rsid w:val="00AC3F5E"/>
    <w:rsid w:val="00AD3C59"/>
    <w:rsid w:val="00AE7ACF"/>
    <w:rsid w:val="00B06409"/>
    <w:rsid w:val="00B10912"/>
    <w:rsid w:val="00B16ECA"/>
    <w:rsid w:val="00B17D66"/>
    <w:rsid w:val="00B31FD9"/>
    <w:rsid w:val="00B33782"/>
    <w:rsid w:val="00B35D3A"/>
    <w:rsid w:val="00B422F1"/>
    <w:rsid w:val="00B60EA4"/>
    <w:rsid w:val="00B61A89"/>
    <w:rsid w:val="00B71531"/>
    <w:rsid w:val="00B7456C"/>
    <w:rsid w:val="00B84131"/>
    <w:rsid w:val="00B8630E"/>
    <w:rsid w:val="00B931F4"/>
    <w:rsid w:val="00B95573"/>
    <w:rsid w:val="00B96395"/>
    <w:rsid w:val="00BA2AF8"/>
    <w:rsid w:val="00BA634F"/>
    <w:rsid w:val="00BB2650"/>
    <w:rsid w:val="00BB5BDC"/>
    <w:rsid w:val="00BB7B76"/>
    <w:rsid w:val="00BC7E04"/>
    <w:rsid w:val="00BD233D"/>
    <w:rsid w:val="00BD6698"/>
    <w:rsid w:val="00BF4EF0"/>
    <w:rsid w:val="00C01775"/>
    <w:rsid w:val="00C02E44"/>
    <w:rsid w:val="00C147D2"/>
    <w:rsid w:val="00C2075F"/>
    <w:rsid w:val="00C2377A"/>
    <w:rsid w:val="00C23799"/>
    <w:rsid w:val="00C274C9"/>
    <w:rsid w:val="00C31E02"/>
    <w:rsid w:val="00C3486D"/>
    <w:rsid w:val="00C45BC1"/>
    <w:rsid w:val="00C54291"/>
    <w:rsid w:val="00C672C3"/>
    <w:rsid w:val="00C712B2"/>
    <w:rsid w:val="00C869E6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1626"/>
    <w:rsid w:val="00D33A4D"/>
    <w:rsid w:val="00D33F76"/>
    <w:rsid w:val="00D41F5E"/>
    <w:rsid w:val="00D43DC0"/>
    <w:rsid w:val="00D54E56"/>
    <w:rsid w:val="00D6407D"/>
    <w:rsid w:val="00D93E78"/>
    <w:rsid w:val="00DA7D86"/>
    <w:rsid w:val="00DB3AE8"/>
    <w:rsid w:val="00DC4EF7"/>
    <w:rsid w:val="00DC6E91"/>
    <w:rsid w:val="00DC7514"/>
    <w:rsid w:val="00DD3845"/>
    <w:rsid w:val="00E1687A"/>
    <w:rsid w:val="00E20A2E"/>
    <w:rsid w:val="00E277DE"/>
    <w:rsid w:val="00E27C91"/>
    <w:rsid w:val="00E27EE9"/>
    <w:rsid w:val="00E3239D"/>
    <w:rsid w:val="00E3254B"/>
    <w:rsid w:val="00E3439B"/>
    <w:rsid w:val="00E42C5F"/>
    <w:rsid w:val="00E65A1B"/>
    <w:rsid w:val="00E72F1F"/>
    <w:rsid w:val="00E934AB"/>
    <w:rsid w:val="00EA06AC"/>
    <w:rsid w:val="00EA08BF"/>
    <w:rsid w:val="00EA24FB"/>
    <w:rsid w:val="00EB3204"/>
    <w:rsid w:val="00EB50BA"/>
    <w:rsid w:val="00EB5B41"/>
    <w:rsid w:val="00EC3D33"/>
    <w:rsid w:val="00ED302A"/>
    <w:rsid w:val="00ED3A42"/>
    <w:rsid w:val="00EE02BC"/>
    <w:rsid w:val="00EE6970"/>
    <w:rsid w:val="00EF38D0"/>
    <w:rsid w:val="00EF3DDF"/>
    <w:rsid w:val="00EF4A8C"/>
    <w:rsid w:val="00EF4EB8"/>
    <w:rsid w:val="00F2678C"/>
    <w:rsid w:val="00F27B38"/>
    <w:rsid w:val="00F341DD"/>
    <w:rsid w:val="00F40278"/>
    <w:rsid w:val="00F41832"/>
    <w:rsid w:val="00F43EE1"/>
    <w:rsid w:val="00F56988"/>
    <w:rsid w:val="00F5789E"/>
    <w:rsid w:val="00F620FB"/>
    <w:rsid w:val="00F64129"/>
    <w:rsid w:val="00F6571F"/>
    <w:rsid w:val="00F73AD5"/>
    <w:rsid w:val="00F755CD"/>
    <w:rsid w:val="00F8687E"/>
    <w:rsid w:val="00F91E34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  <w:rsid w:val="00FE766F"/>
    <w:rsid w:val="00FF2795"/>
    <w:rsid w:val="346A53D1"/>
    <w:rsid w:val="3805545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49"/>
      </o:rules>
    </o:shapelayout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8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9"/>
    <w:unhideWhenUsed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6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qFormat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8">
    <w:name w:val="Table Grid"/>
    <w:basedOn w:val="17"/>
    <w:uiPriority w:val="59"/>
    <w:pPr/>
    <w:tblPr>
      <w:tblStyle w:val="1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"/>
    <w:basedOn w:val="13"/>
    <w:link w:val="9"/>
    <w:uiPriority w:val="99"/>
    <w:rPr>
      <w:sz w:val="18"/>
      <w:szCs w:val="18"/>
    </w:rPr>
  </w:style>
  <w:style w:type="character" w:customStyle="1" w:styleId="28">
    <w:name w:val="页脚 Char"/>
    <w:basedOn w:val="13"/>
    <w:link w:val="8"/>
    <w:uiPriority w:val="99"/>
    <w:rPr>
      <w:sz w:val="18"/>
      <w:szCs w:val="18"/>
    </w:rPr>
  </w:style>
  <w:style w:type="character" w:customStyle="1" w:styleId="29">
    <w:name w:val="批注框文本 Char"/>
    <w:basedOn w:val="13"/>
    <w:link w:val="7"/>
    <w:semiHidden/>
    <w:uiPriority w:val="0"/>
    <w:rPr>
      <w:sz w:val="18"/>
      <w:szCs w:val="18"/>
    </w:rPr>
  </w:style>
  <w:style w:type="character" w:customStyle="1" w:styleId="30">
    <w:name w:val="HTML 预设格式 Char"/>
    <w:basedOn w:val="13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"/>
    <w:basedOn w:val="13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2">
    <w:name w:val="标题 1 Char"/>
    <w:basedOn w:val="13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"/>
    <w:basedOn w:val="13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"/>
    <w:basedOn w:val="13"/>
    <w:semiHidden/>
    <w:uiPriority w:val="99"/>
    <w:rPr>
      <w:kern w:val="2"/>
      <w:sz w:val="18"/>
      <w:szCs w:val="18"/>
    </w:rPr>
  </w:style>
  <w:style w:type="character" w:customStyle="1" w:styleId="36">
    <w:name w:val="脚注文本 Char1"/>
    <w:basedOn w:val="13"/>
    <w:link w:val="10"/>
    <w:semiHidden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"/>
    <w:basedOn w:val="13"/>
    <w:link w:val="5"/>
    <w:qFormat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3"/>
    <w:semiHidden/>
    <w:qFormat/>
    <w:uiPriority w:val="99"/>
    <w:rPr>
      <w:kern w:val="2"/>
      <w:sz w:val="21"/>
      <w:szCs w:val="22"/>
    </w:rPr>
  </w:style>
  <w:style w:type="character" w:customStyle="1" w:styleId="40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0" Type="http://schemas.openxmlformats.org/officeDocument/2006/relationships/customXml" Target="../customXml/item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240</Words>
  <Characters>1373</Characters>
  <Lines>11</Lines>
  <Paragraphs>3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2020-02-27T03:35:00Z</dcterms:created>
  <dc:creator>裴建君2</dc:creator>
  <cp:lastModifiedBy>席雅兰/外汇管理处/银川/PBC</cp:lastModifiedBy>
  <cp:lastPrinted>2020-09-28T03:20:00Z</cp:lastPrinted>
  <dcterms:modified xsi:type="dcterms:W3CDTF">2021-05-18T06:15:42Z</dcterms:modified>
  <dc:title>编号：57016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