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header+xml" PartName="/word/head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imes New Roman" w:hAnsi="Times New Roman" w:eastAsia="仿宋_GB2312" w:cs="Times New Roman"/>
          <w:sz w:val="30"/>
          <w:szCs w:val="30"/>
        </w:rPr>
      </w:pPr>
    </w:p>
    <w:p>
      <w:pPr>
        <w:rPr>
          <w:rFonts w:ascii="Times New Roman" w:hAnsi="Times New Roman" w:eastAsia="仿宋_GB2312" w:cs="Times New Roman"/>
          <w:sz w:val="30"/>
          <w:szCs w:val="30"/>
        </w:rPr>
      </w:pPr>
    </w:p>
    <w:p>
      <w:pPr>
        <w:rPr>
          <w:rFonts w:ascii="Times New Roman" w:hAnsi="Times New Roman" w:eastAsia="黑体" w:cs="Times New Roman"/>
          <w:sz w:val="48"/>
          <w:szCs w:val="48"/>
        </w:rPr>
      </w:pPr>
      <w:r>
        <w:rPr>
          <w:rFonts w:ascii="Times New Roman" w:hAnsi="Times New Roman" w:eastAsia="黑体" w:cs="Times New Roman"/>
          <w:sz w:val="48"/>
          <w:szCs w:val="48"/>
        </w:rPr>
        <w:t>编号：57006</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框 1025" o:spid="_x0000_s1026" type="#_x0000_t75" style="height:69.75pt;width:87.0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“境内机构外债、对外或有负债</w:t>
      </w:r>
      <w:r>
        <w:rPr>
          <w:rFonts w:hint="eastAsia" w:ascii="Times New Roman" w:hAnsi="Times New Roman" w:eastAsia="黑体" w:cs="Times New Roman"/>
          <w:sz w:val="52"/>
          <w:szCs w:val="52"/>
        </w:rPr>
        <w:t>、外债转贷款</w:t>
      </w:r>
      <w:r>
        <w:rPr>
          <w:rFonts w:ascii="Times New Roman" w:hAnsi="Times New Roman" w:eastAsia="黑体" w:cs="Times New Roman"/>
          <w:sz w:val="52"/>
          <w:szCs w:val="52"/>
        </w:rPr>
        <w:t xml:space="preserve">审批、登记及履约核准”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宁夏回族自治区分局</w:t>
      </w:r>
    </w:p>
    <w:p>
      <w:pPr>
        <w:ind w:right="300"/>
        <w:rPr>
          <w:rFonts w:ascii="Times New Roman" w:hAnsi="Times New Roman" w:eastAsia="仿宋_GB2312" w:cs="Times New Roman"/>
          <w:sz w:val="30"/>
          <w:szCs w:val="30"/>
        </w:rPr>
      </w:pPr>
    </w:p>
    <w:p>
      <w:pPr>
        <w:pStyle w:val="19"/>
        <w:adjustRightInd w:val="0"/>
        <w:snapToGrid w:val="0"/>
        <w:spacing w:line="360" w:lineRule="auto"/>
        <w:ind w:firstLine="0" w:firstLineChars="0"/>
        <w:outlineLvl w:val="0"/>
        <w:rPr>
          <w:rFonts w:ascii="Times New Roman" w:hAnsi="Times New Roman" w:eastAsia="黑体"/>
          <w:sz w:val="30"/>
          <w:szCs w:val="30"/>
        </w:rPr>
      </w:pPr>
      <w:r>
        <w:rPr>
          <w:rFonts w:ascii="Times New Roman" w:hAnsi="Times New Roman" w:eastAsia="黑体"/>
          <w:sz w:val="30"/>
          <w:szCs w:val="30"/>
        </w:rPr>
        <w:t xml:space="preserve">    一、项目信息</w:t>
      </w:r>
    </w:p>
    <w:p>
      <w:pPr>
        <w:pStyle w:val="19"/>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项目名称：境内机构外债、对外或有负债</w:t>
      </w:r>
      <w:r>
        <w:rPr>
          <w:rFonts w:hint="eastAsia" w:ascii="Times New Roman" w:hAnsi="Times New Roman" w:eastAsia="仿宋_GB2312"/>
          <w:sz w:val="30"/>
          <w:szCs w:val="30"/>
        </w:rPr>
        <w:t>、外债转贷款</w:t>
      </w:r>
      <w:r>
        <w:rPr>
          <w:rFonts w:ascii="Times New Roman" w:hAnsi="Times New Roman" w:eastAsia="仿宋_GB2312"/>
          <w:sz w:val="30"/>
          <w:szCs w:val="30"/>
        </w:rPr>
        <w:t>审批、登记及履约核准；</w:t>
      </w:r>
    </w:p>
    <w:p>
      <w:pPr>
        <w:pStyle w:val="19"/>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项目编号：57006；</w:t>
      </w:r>
    </w:p>
    <w:p>
      <w:pPr>
        <w:pStyle w:val="19"/>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审批类别：行政许可；</w:t>
      </w:r>
    </w:p>
    <w:p>
      <w:pPr>
        <w:pStyle w:val="19"/>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审查类型：前审后批。</w:t>
      </w:r>
    </w:p>
    <w:p>
      <w:pPr>
        <w:numPr>
          <w:ilvl w:val="0"/>
          <w:numId w:val="1"/>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适用范围</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仿宋_GB2312" w:cs="Times New Roman"/>
          <w:sz w:val="30"/>
          <w:szCs w:val="30"/>
        </w:rPr>
        <w:t xml:space="preserve">    本指南适用于“境内机构外债、对外或有负债</w:t>
      </w:r>
      <w:r>
        <w:rPr>
          <w:rFonts w:hint="eastAsia" w:ascii="Times New Roman" w:hAnsi="Times New Roman" w:eastAsia="仿宋_GB2312" w:cs="Times New Roman"/>
          <w:sz w:val="30"/>
          <w:szCs w:val="30"/>
        </w:rPr>
        <w:t>、外债转贷款</w:t>
      </w:r>
      <w:r>
        <w:rPr>
          <w:rFonts w:ascii="Times New Roman" w:hAnsi="Times New Roman" w:eastAsia="仿宋_GB2312" w:cs="Times New Roman"/>
          <w:sz w:val="30"/>
          <w:szCs w:val="30"/>
        </w:rPr>
        <w:t>审批、登记及履约核准”的申请和办理。</w:t>
      </w:r>
    </w:p>
    <w:p>
      <w:pPr>
        <w:numPr>
          <w:ilvl w:val="0"/>
          <w:numId w:val="2"/>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（一）《中华人民共和国外汇管理条例》（国务院令第532号）第十八条：“国家对外债实行规模管理。借用外债应当按照国家有关规定办理，并到外汇管理机关办理外债登记”；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九条：“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（三）《国务院对确需保留的行政审批项目设定行政许可的决定》（国务院令第412号）附件第471项“境内机构外债、外债转贷款、对外担保履约核准”；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（四）《国务院对确需保留的行政审批项目设定行政许可的决定》（国务院令第412号）附件第485项“境内外资金融机构短期外债核准”；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（五）《外债管理暂行办法》（国家发展计划委员会、财政部、国家外汇管理局令第28号）第十六条：“国家对境内中资机构举借短期国际商业贷款实行余额管理，余额由国家外汇管理局核定”。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四、内保外贷登记</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2.《国家外汇管理局关于发布〈跨境担保外汇管理规定〉的通知》（汇发〔2014〕29号）。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3.《国家外汇管理局关于对部分非银行机构内保外贷业务实行集中登记管理的通知》（汇发〔2015〕15号）。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4.《国家外汇管理局关于进一步推进外汇管理改革完善真实合规性审核的通知》（汇发〔2017〕3号）。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5.《国家外汇管理局关于优化外汇管理支持涉外业务发展的通知》（汇发〔2020〕8号）。</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申请人所在地外汇局。境内担保人为个人的，由个人户籍所在地外汇局办理。</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申请人所在地或个人户籍所在地外汇局。</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内保外贷是指担保人注册地在境内、债务人和债权人注册地均在境外的跨境担保。</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1.登记</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担保人为非银行金融机构或企业（以下简称非银行机构）的，应在签订担保合同后15个工作日内办理内保外贷签约登记手续。</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2.变更登记</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担保合同主要条款发生变更的，应当在15个工作日内办理内保外贷签约变更登记手续。</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3.同一内保外贷业务下存在多个境内担保人的，可自行约定其中一个担保人到所在地外汇局办理登记手续。</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4.满足以下条件的非银行机构，可根据经营需要向当地外汇局提出内保外贷业务集中登记申请：内保外贷业务发生频率较高（原则上预计每年需要登记的业务笔数不低于15笔），有办理集中登记的实际需求；具有完善的担保业务内控制度；近三年无重大外汇管理违法违规行为；所在地外汇局认为的其他事由。满足条件的非银行机构应在每月结束后3个工作日内通过逐笔填报《非银行机构内保外贷集中登记逐笔月报表》向所在地外汇局集中办理签约登记手续。</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5.</w:t>
      </w:r>
      <w:r>
        <w:rPr>
          <w:rFonts w:ascii="Times New Roman" w:hAnsi="Times New Roman" w:eastAsia="仿宋_GB2312" w:cs="Times New Roman"/>
          <w:sz w:val="30"/>
          <w:szCs w:val="30"/>
        </w:rPr>
        <w:t>非银行金融机构作为担保人提供内保外贷，按照行业主管部门规定，应具有相应担保业务经营资格。符合条件的境内个人可作为担保人并参照非金融机构办理内保外贷业务。</w:t>
      </w:r>
    </w:p>
    <w:p>
      <w:pPr>
        <w:widowControl/>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6.</w:t>
      </w:r>
      <w:r>
        <w:rPr>
          <w:rFonts w:ascii="Times New Roman" w:hAnsi="Times New Roman" w:eastAsia="仿宋_GB2312" w:cs="Times New Roman"/>
          <w:sz w:val="30"/>
          <w:szCs w:val="30"/>
        </w:rPr>
        <w:t>企业内保外贷责任已解除且未发生内保外贷履约的情况下，可到所属分局（外汇管理部）辖内银行直接办理内保外贷注销登记。不符合相应条件的，由担保人注册所在地或户籍所在地外汇局办理。</w:t>
      </w:r>
    </w:p>
    <w:p>
      <w:pPr>
        <w:widowControl/>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7.</w:t>
      </w:r>
      <w:r>
        <w:rPr>
          <w:rFonts w:ascii="Times New Roman" w:hAnsi="Times New Roman" w:eastAsia="仿宋_GB2312" w:cs="Times New Roman"/>
          <w:sz w:val="30"/>
          <w:szCs w:val="30"/>
        </w:rPr>
        <w:t>.禁止性要求：如符合上述条件，不存在不予许可的情况。</w:t>
      </w:r>
    </w:p>
    <w:p>
      <w:pPr>
        <w:widowControl/>
        <w:ind w:firstLine="600" w:firstLineChars="200"/>
        <w:rPr>
          <w:rFonts w:ascii="Times New Roman" w:hAnsi="Times New Roman" w:eastAsia="黑体" w:cs="Times New Roman"/>
          <w:sz w:val="30"/>
          <w:szCs w:val="30"/>
        </w:rPr>
      </w:pPr>
      <w:r>
        <w:rPr>
          <w:rFonts w:hint="eastAsia" w:ascii="Times New Roman" w:hAnsi="Times New Roman" w:eastAsia="仿宋_GB2312" w:cs="Times New Roman"/>
          <w:sz w:val="30"/>
          <w:szCs w:val="30"/>
        </w:rPr>
        <w:t>（</w:t>
      </w:r>
      <w:r>
        <w:rPr>
          <w:rFonts w:ascii="Times New Roman" w:hAnsi="Times New Roman" w:eastAsia="黑体" w:cs="Times New Roman"/>
          <w:sz w:val="30"/>
          <w:szCs w:val="30"/>
        </w:rPr>
        <w:t>六）申请材料</w:t>
      </w:r>
    </w:p>
    <w:p>
      <w:pPr>
        <w:widowControl/>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1.内保外贷签约(变更)登记申请材料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543"/>
        <w:gridCol w:w="1276"/>
        <w:gridCol w:w="567"/>
        <w:gridCol w:w="851"/>
        <w:gridCol w:w="708"/>
        <w:gridCol w:w="1043"/>
      </w:tblGrid>
      <w:tr>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5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2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5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27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p>
        </w:tc>
      </w:tr>
      <w:tr>
        <w:trPr>
          <w:trHeight w:val="378" w:hRule="atLeast"/>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5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加盖公章的担保合同和担保项下主债务合同主要条款复印件</w:t>
            </w:r>
          </w:p>
        </w:tc>
        <w:tc>
          <w:tcPr>
            <w:tcW w:w="127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rPr>
          <w:trHeight w:val="1767" w:hRule="atLeast"/>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5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发改委、商务部门关于境外投资项目的批准文件、被担保人主体资格合法性证明、担保的商业合理性证明、被担保人还款能力证明等材料</w:t>
            </w:r>
          </w:p>
        </w:tc>
        <w:tc>
          <w:tcPr>
            <w:tcW w:w="127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rPr>
          <w:trHeight w:val="1125" w:hRule="atLeast"/>
        </w:trPr>
        <w:tc>
          <w:tcPr>
            <w:tcW w:w="534" w:type="dxa"/>
            <w:vAlign w:val="center"/>
          </w:tcPr>
          <w:p>
            <w:pPr>
              <w:jc w:val="center"/>
              <w:rPr>
                <w:rFonts w:ascii="Times New Roman" w:hAnsi="Times New Roman" w:eastAsia="仿宋_GB2312" w:cs="Times New Roman"/>
                <w:sz w:val="24"/>
                <w:szCs w:val="24"/>
              </w:rPr>
            </w:pPr>
            <w:bookmarkStart w:id="0" w:name="OLE_LINK3"/>
            <w:bookmarkStart w:id="1" w:name="OLE_LINK4"/>
            <w:r>
              <w:rPr>
                <w:rFonts w:ascii="Times New Roman" w:hAnsi="Times New Roman" w:eastAsia="仿宋_GB2312" w:cs="Times New Roman"/>
                <w:sz w:val="24"/>
                <w:szCs w:val="24"/>
              </w:rPr>
              <w:t>4</w:t>
            </w:r>
          </w:p>
        </w:tc>
        <w:tc>
          <w:tcPr>
            <w:tcW w:w="3543" w:type="dxa"/>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办理内保外贷签约变更登记时，还应提供变更事项的真实性证明材料</w:t>
            </w:r>
          </w:p>
        </w:tc>
        <w:tc>
          <w:tcPr>
            <w:tcW w:w="127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内保外贷注销登记申请材料</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835"/>
        <w:gridCol w:w="1559"/>
        <w:gridCol w:w="992"/>
        <w:gridCol w:w="851"/>
        <w:gridCol w:w="708"/>
        <w:gridCol w:w="1043"/>
      </w:tblGrid>
      <w:tr>
        <w:trPr>
          <w:jc w:val="center"/>
        </w:trPr>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83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5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rPr>
          <w:jc w:val="center"/>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83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书面申请，并附原《内保外贷登记表》</w:t>
            </w:r>
          </w:p>
        </w:tc>
        <w:tc>
          <w:tcPr>
            <w:tcW w:w="15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p>
        </w:tc>
      </w:tr>
      <w:tr>
        <w:trPr>
          <w:trHeight w:val="378" w:hRule="atLeast"/>
          <w:jc w:val="center"/>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835" w:type="dxa"/>
            <w:vAlign w:val="center"/>
          </w:tcPr>
          <w:p>
            <w:pPr>
              <w:autoSpaceDE w:val="0"/>
              <w:autoSpaceDN w:val="0"/>
              <w:adjustRightInd w:val="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内保外贷责任解除的相关证明材料</w:t>
            </w:r>
          </w:p>
        </w:tc>
        <w:tc>
          <w:tcPr>
            <w:tcW w:w="15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pacing w:line="360" w:lineRule="auto"/>
        <w:ind w:firstLine="900" w:firstLineChars="3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pacing w:line="360" w:lineRule="auto"/>
        <w:ind w:firstLine="900" w:firstLineChars="3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pacing w:line="360" w:lineRule="auto"/>
        <w:ind w:firstLine="900" w:firstLineChars="3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pacing w:line="360" w:lineRule="auto"/>
        <w:ind w:firstLine="900" w:firstLineChars="3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（十一）审批收费依据及标准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（十二）审批结果</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五）</w:t>
      </w:r>
      <w:r>
        <w:rPr>
          <w:rFonts w:ascii="Times New Roman" w:hAnsi="Times New Roman" w:eastAsia="黑体" w:cs="Times New Roman"/>
          <w:sz w:val="30"/>
          <w:szCs w:val="30"/>
        </w:rPr>
        <w:t>咨询途径</w:t>
      </w:r>
    </w:p>
    <w:p>
      <w:pPr>
        <w:adjustRightInd w:val="0"/>
        <w:snapToGrid w:val="0"/>
        <w:spacing w:line="360" w:lineRule="auto"/>
        <w:ind w:firstLine="585"/>
        <w:jc w:val="left"/>
        <w:outlineLvl w:val="0"/>
        <w:rPr>
          <w:rFonts w:ascii="Times New Roman" w:hAnsi="Times New Roman" w:eastAsia="仿宋_GB2312" w:cs="Times New Roman"/>
          <w:sz w:val="30"/>
          <w:szCs w:val="30"/>
          <w:lang w:val="en-US"/>
        </w:rPr>
      </w:pPr>
      <w:r>
        <w:rPr>
          <w:rFonts w:ascii="Times New Roman" w:hAnsi="Times New Roman" w:eastAsia="仿宋_GB2312" w:cs="Times New Roman"/>
          <w:sz w:val="30"/>
          <w:szCs w:val="30"/>
        </w:rPr>
        <w:t>（一）咨询窗口：国家外汇管理局</w:t>
      </w:r>
      <w:r>
        <w:rPr>
          <w:rFonts w:hint="eastAsia" w:ascii="Times New Roman" w:hAnsi="Times New Roman" w:eastAsia="仿宋_GB2312" w:cs="Times New Roman"/>
          <w:sz w:val="30"/>
          <w:szCs w:val="30"/>
          <w:lang w:eastAsia="zh-CN"/>
        </w:rPr>
        <w:t>宁夏回族自治区分局外汇处。</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（二）咨询电话：（0</w:t>
      </w:r>
      <w:r>
        <w:rPr>
          <w:rFonts w:hint="eastAsia" w:ascii="Times New Roman" w:hAnsi="Times New Roman" w:eastAsia="仿宋_GB2312" w:cs="Times New Roman"/>
          <w:sz w:val="30"/>
          <w:szCs w:val="30"/>
          <w:lang w:val="en-US" w:eastAsia="zh-CN"/>
        </w:rPr>
        <w:t>951</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5189608。</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lang w:eastAsia="zh-CN"/>
        </w:rPr>
        <w:t>三</w:t>
      </w:r>
      <w:r>
        <w:rPr>
          <w:rFonts w:ascii="Times New Roman" w:hAnsi="Times New Roman" w:eastAsia="仿宋_GB2312" w:cs="Times New Roman"/>
          <w:sz w:val="30"/>
          <w:szCs w:val="30"/>
        </w:rPr>
        <w:t>）咨询信件邮寄地址：</w:t>
      </w:r>
      <w:r>
        <w:rPr>
          <w:rFonts w:hint="default" w:ascii="Times New Roman" w:hAnsi="Times New Roman" w:eastAsia="仿宋_GB2312" w:cs="Times New Roman"/>
          <w:sz w:val="30"/>
          <w:szCs w:val="30"/>
        </w:rPr>
        <w:t>宁夏回族自治区银川市兴庆区北京东路215号</w:t>
      </w:r>
      <w:r>
        <w:rPr>
          <w:rFonts w:hint="eastAsia" w:ascii="Times New Roman" w:hAnsi="Times New Roman" w:eastAsia="仿宋_GB2312" w:cs="Times New Roman"/>
          <w:sz w:val="30"/>
          <w:szCs w:val="30"/>
          <w:lang w:eastAsia="zh-CN"/>
        </w:rPr>
        <w:t>外汇管理处</w:t>
      </w:r>
      <w:r>
        <w:rPr>
          <w:rFonts w:ascii="Times New Roman" w:hAnsi="Times New Roman" w:eastAsia="仿宋_GB2312" w:cs="Times New Roman"/>
          <w:sz w:val="30"/>
          <w:szCs w:val="30"/>
        </w:rPr>
        <w:t>，邮政编码</w:t>
      </w:r>
      <w:r>
        <w:rPr>
          <w:rFonts w:hint="eastAsia" w:ascii="Times New Roman" w:hAnsi="Times New Roman" w:eastAsia="仿宋_GB2312" w:cs="Times New Roman"/>
          <w:sz w:val="30"/>
          <w:szCs w:val="30"/>
          <w:lang w:val="en-US" w:eastAsia="zh-CN"/>
        </w:rPr>
        <w:t>750001。</w:t>
      </w:r>
      <w:bookmarkStart w:id="2" w:name="_GoBack"/>
      <w:bookmarkEnd w:id="2"/>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六）</w:t>
      </w:r>
      <w:r>
        <w:rPr>
          <w:rFonts w:ascii="Times New Roman" w:hAnsi="Times New Roman" w:eastAsia="黑体" w:cs="Times New Roman"/>
          <w:sz w:val="30"/>
          <w:szCs w:val="30"/>
        </w:rPr>
        <w:t>监督和投诉渠道</w:t>
      </w:r>
    </w:p>
    <w:p>
      <w:pPr>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监督和投诉等可通过</w:t>
      </w: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lang w:eastAsia="zh-CN"/>
        </w:rPr>
        <w:t>宁夏回族自治区分局</w:t>
      </w:r>
      <w:r>
        <w:rPr>
          <w:rFonts w:hint="eastAsia" w:ascii="Times New Roman" w:hAnsi="Times New Roman" w:eastAsia="仿宋_GB2312" w:cs="Times New Roman"/>
          <w:sz w:val="30"/>
          <w:szCs w:val="30"/>
        </w:rPr>
        <w:t>网站</w:t>
      </w:r>
      <w:r>
        <w:fldChar w:fldCharType="begin"/>
      </w:r>
      <w:r>
        <w:instrText xml:space="preserve"> HYPERLINK "http://www.safe.gov.cn" </w:instrText>
      </w:r>
      <w:r>
        <w:fldChar w:fldCharType="separate"/>
      </w:r>
      <w:r>
        <w:rPr>
          <w:rFonts w:ascii="Times New Roman" w:hAnsi="Times New Roman" w:cs="Times New Roman"/>
          <w:sz w:val="30"/>
          <w:szCs w:val="30"/>
        </w:rPr>
        <w:t>www.safe.gov.cn</w:t>
      </w:r>
      <w:r>
        <w:rPr>
          <w:rFonts w:ascii="Times New Roman" w:hAnsi="Times New Roman" w:cs="Times New Roman"/>
          <w:sz w:val="30"/>
          <w:szCs w:val="30"/>
        </w:rPr>
        <w:fldChar w:fldCharType="end"/>
      </w:r>
      <w:r>
        <w:rPr>
          <w:rFonts w:hint="eastAsia" w:ascii="Times New Roman" w:hAnsi="Times New Roman" w:cs="Times New Roman"/>
          <w:sz w:val="30"/>
          <w:szCs w:val="30"/>
          <w:lang w:val="en-US" w:eastAsia="zh-CN"/>
        </w:rPr>
        <w:t>/ningxia/</w:t>
      </w:r>
      <w:r>
        <w:rPr>
          <w:rFonts w:hint="eastAsia" w:ascii="Times New Roman" w:hAnsi="Times New Roman" w:eastAsia="仿宋_GB2312" w:cs="Times New Roman"/>
          <w:sz w:val="30"/>
          <w:szCs w:val="30"/>
        </w:rPr>
        <w:t>的</w:t>
      </w:r>
      <w:r>
        <w:rPr>
          <w:rFonts w:hint="eastAsia" w:ascii="Times New Roman" w:hAnsi="Times New Roman" w:eastAsia="仿宋_GB2312" w:cs="Times New Roman"/>
          <w:sz w:val="30"/>
          <w:szCs w:val="30"/>
          <w:lang w:eastAsia="zh-CN"/>
        </w:rPr>
        <w:t>投诉建议</w:t>
      </w:r>
      <w:r>
        <w:rPr>
          <w:rFonts w:hint="eastAsia" w:ascii="Times New Roman" w:hAnsi="Times New Roman" w:eastAsia="仿宋_GB2312" w:cs="Times New Roman"/>
          <w:sz w:val="30"/>
          <w:szCs w:val="30"/>
        </w:rPr>
        <w:t>栏目进行</w:t>
      </w:r>
      <w:r>
        <w:rPr>
          <w:rFonts w:hint="eastAsia" w:ascii="Times New Roman" w:hAnsi="Times New Roman" w:eastAsia="仿宋_GB2312" w:cs="Times New Roman"/>
          <w:sz w:val="30"/>
          <w:szCs w:val="30"/>
          <w:lang w:val="en-US" w:eastAsia="zh-CN"/>
        </w:rPr>
        <w:t>,</w:t>
      </w:r>
      <w:r>
        <w:rPr>
          <w:rFonts w:hint="eastAsia" w:ascii="Times New Roman" w:hAnsi="Times New Roman" w:eastAsia="仿宋_GB2312" w:cs="Times New Roman"/>
          <w:sz w:val="30"/>
          <w:szCs w:val="30"/>
        </w:rPr>
        <w:t>也可通过</w:t>
      </w:r>
      <w:r>
        <w:rPr>
          <w:rFonts w:hint="eastAsia" w:ascii="Times New Roman" w:hAnsi="Times New Roman" w:eastAsia="仿宋_GB2312" w:cs="Times New Roman"/>
          <w:sz w:val="30"/>
          <w:szCs w:val="30"/>
          <w:lang w:eastAsia="zh-CN"/>
        </w:rPr>
        <w:t>该</w:t>
      </w:r>
      <w:r>
        <w:rPr>
          <w:rFonts w:hint="eastAsia" w:ascii="Times New Roman" w:hAnsi="Times New Roman" w:eastAsia="仿宋_GB2312" w:cs="Times New Roman"/>
          <w:sz w:val="30"/>
          <w:szCs w:val="30"/>
        </w:rPr>
        <w:t>网站公布的电话进行。</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（十七）</w:t>
      </w:r>
      <w:r>
        <w:rPr>
          <w:rFonts w:ascii="Times New Roman" w:hAnsi="Times New Roman" w:eastAsia="黑体" w:cs="Times New Roman"/>
          <w:sz w:val="30"/>
          <w:szCs w:val="30"/>
        </w:rPr>
        <w:t>办公地址和时间</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（一）办公地址。</w:t>
      </w:r>
      <w:r>
        <w:rPr>
          <w:rFonts w:hint="default" w:ascii="Times New Roman" w:hAnsi="Times New Roman" w:eastAsia="仿宋_GB2312" w:cs="Times New Roman"/>
          <w:sz w:val="30"/>
          <w:szCs w:val="30"/>
        </w:rPr>
        <w:t>宁夏回族自治区银川市兴庆区北京东路215号</w:t>
      </w:r>
      <w:r>
        <w:rPr>
          <w:rFonts w:hint="eastAsia" w:ascii="Times New Roman" w:hAnsi="Times New Roman" w:eastAsia="仿宋_GB2312" w:cs="Times New Roman"/>
          <w:sz w:val="30"/>
          <w:szCs w:val="30"/>
          <w:lang w:eastAsia="zh-CN"/>
        </w:rPr>
        <w:t>外汇管理处</w:t>
      </w:r>
      <w:r>
        <w:rPr>
          <w:rFonts w:ascii="Times New Roman" w:hAnsi="Times New Roman" w:eastAsia="仿宋_GB2312" w:cs="Times New Roman"/>
          <w:sz w:val="30"/>
          <w:szCs w:val="30"/>
        </w:rPr>
        <w:t>，邮政编码</w:t>
      </w:r>
      <w:r>
        <w:rPr>
          <w:rFonts w:hint="eastAsia" w:ascii="Times New Roman" w:hAnsi="Times New Roman" w:eastAsia="仿宋_GB2312" w:cs="Times New Roman"/>
          <w:sz w:val="30"/>
          <w:szCs w:val="30"/>
          <w:lang w:val="en-US" w:eastAsia="zh-CN"/>
        </w:rPr>
        <w:t>750001</w:t>
      </w:r>
      <w:r>
        <w:rPr>
          <w:rFonts w:ascii="Times New Roman" w:hAnsi="Times New Roman" w:eastAsia="仿宋_GB2312" w:cs="Times New Roman"/>
          <w:sz w:val="30"/>
          <w:szCs w:val="30"/>
        </w:rPr>
        <w:t>。</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（二）办公时间。周一至周五，</w:t>
      </w:r>
      <w:r>
        <w:rPr>
          <w:rFonts w:hint="eastAsia" w:ascii="Times New Roman" w:hAnsi="Times New Roman" w:eastAsia="仿宋_GB2312" w:cs="Times New Roman"/>
          <w:sz w:val="30"/>
          <w:szCs w:val="30"/>
          <w:lang w:val="en-US" w:eastAsia="zh-CN"/>
        </w:rPr>
        <w:t>夏季上午08:30到12:00,下午14:30到18:00；冬季上午08:30到12:00,下午14:00到17:30；周六、周日及法定节假日不对外办理业务。</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（三）乘车路线。公交车</w:t>
      </w:r>
      <w:r>
        <w:rPr>
          <w:rFonts w:hint="eastAsia" w:ascii="Times New Roman" w:hAnsi="Times New Roman" w:eastAsia="仿宋_GB2312" w:cs="Times New Roman"/>
          <w:sz w:val="30"/>
          <w:szCs w:val="30"/>
          <w:lang w:val="en-US" w:eastAsia="zh-CN"/>
        </w:rPr>
        <w:t>101、101A、19、18路公交线路经停，可在临湖小区站上/下车。</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（十八）</w:t>
      </w:r>
      <w:r>
        <w:rPr>
          <w:rFonts w:ascii="Times New Roman" w:hAnsi="Times New Roman" w:eastAsia="黑体" w:cs="Times New Roman"/>
          <w:sz w:val="30"/>
          <w:szCs w:val="30"/>
        </w:rPr>
        <w:t>公开查询</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办理时限结束之日后，申请人可通过电话查询。</w:t>
      </w: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组合 1026" o:spid="_x0000_s1027" style="position:absolute;left:0;margin-left:-18pt;margin-top:-0.95pt;height:586.05pt;width:453.65pt;rotation:0f;z-index:251658240;" coordorigin="1195,3000" coordsize="9073,11721">
            <o:lock v:ext="edit" position="f" selection="f" grouping="f" rotation="f" cropping="f" text="f" aspectratio="f"/>
            <v:rect id="Rectangle 6" o:spid="_x0000_s1028"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029"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8" o:spid="_x0000_s1030"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031" type="#_x0000_t32" style="position:absolute;left:5729;top:10693;height:626;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0" o:spid="_x0000_s1032" type="#_x0000_t32" style="position:absolute;left:7678;top:12568;height:109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1" o:spid="_x0000_s1033" type="#_x0000_t32" style="position:absolute;left:3705;top:12568;height:103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2" o:spid="_x0000_s1034" type="#_x0000_t32" style="position:absolute;left:5730;top:11853;height:715;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3" o:spid="_x0000_s1035" type="#_x0000_t32" style="position:absolute;left:3706;top:12568;height:0;width:3972;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35" o:spid="_x0000_s1036" style="position:absolute;left:1195;top:3000;height:7693;width:9073;rotation:0f;" coordorigin="1195,3000" coordsize="9073,7693">
              <o:lock v:ext="edit" position="f" selection="f" grouping="f" rotation="f" cropping="f" text="f" aspectratio="f"/>
              <v:shape id="AutoShape 15" o:spid="_x0000_s1037" type="#_x0000_t32" style="position:absolute;left:7240;top:9566;height:60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id="组合 1037" o:spid="_x0000_s1038" style="position:absolute;left:1195;top:3000;height:7693;width:9073;rotation:0f;" coordorigin="1195,3000" coordsize="9073,7693">
                <o:lock v:ext="edit" position="f" selection="f" grouping="f" rotation="f" cropping="f" text="f" aspectratio="f"/>
                <v:shape id="AutoShape 17" o:spid="_x0000_s1039" type="#_x0000_t34" style="position:absolute;left:7714;top:6155;height:1285;width:3823;rotation:17694720f;" o:ole="f" fillcolor="#FFFFFF" filled="t" o:preferrelative="t" stroked="t" coordorigin="0,0" coordsize="21600,21600" adj="33">
                  <v:stroke color="#000000" color2="#FFFFFF" miterlimit="2"/>
                  <v:imagedata gain="65536f" blacklevel="0f" gamma="0"/>
                  <o:lock v:ext="edit" position="f" selection="f" grouping="f" rotation="f" cropping="f" text="f" aspectratio="f"/>
                </v:shape>
                <v:shape id="Text Box 18" o:spid="_x0000_s1040"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041" type="#_x0000_t32" style="position:absolute;left:7240;top:7472;height:37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20" o:spid="_x0000_s1042"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043" type="#_x0000_t4" style="position:absolute;left:5346;top:7833;height:1733;width:363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22" o:spid="_x0000_s1044"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3" o:spid="_x0000_s1045"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4" o:spid="_x0000_s1046" type="#_x0000_t116" style="position:absolute;left:5913;top:4050;height:1710;width:2922;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046" o:spid="_x0000_s1047" style="position:absolute;left:1195;top:3000;height:7424;width:4746;rotation:0f;" coordorigin="1195,3000" coordsize="4746,7424">
                  <o:lock v:ext="edit" position="f" selection="f" grouping="f" rotation="f" cropping="f" text="f" aspectratio="f"/>
                  <v:shape id="AutoShape 26" o:spid="_x0000_s1048" type="#_x0000_t32" style="position:absolute;left:5010;top:6910;height:0;width:93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7" o:spid="_x0000_s1049" type="#_x0000_t32" style="position:absolute;left:2702;top:6986;height:3437;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49" o:spid="_x0000_s1050" style="position:absolute;left:1195;top:3000;height:4066;width:3781;rotation:0f;" coordorigin="1195,3000" coordsize="3781,4066">
                    <o:lock v:ext="edit" position="f" selection="f" grouping="f" rotation="f" cropping="f" text="f" aspectratio="f"/>
                    <v:shape id="AutoShape 29" o:spid="_x0000_s1051" type="#_x0000_t32" style="position:absolute;left:2743;top:4172;height:764;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0" o:spid="_x0000_s1052" type="#_x0000_t32" style="position:absolute;left:4188;top:5967;flip:y;height:26;width:788;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31" o:spid="_x0000_s1053" type="#_x0000_t4" style="position:absolute;left:1195;top:4919;height:2147;width:299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054"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055" type="#_x0000_t32" style="position:absolute;left:2702;top:10423;height:1;width:121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4" o:spid="_x0000_s1056" type="#_x0000_t32" style="position:absolute;left:5010;top:4999;height:192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35" o:spid="_x0000_s1057" type="#_x0000_t32" style="position:absolute;left:5010;top:4989;height:1;width:90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36" o:spid="_x0000_s1058"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059"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060" type="#_x0000_t32" style="position:absolute;left:8927;top:4886;flip:x;height:0;width:134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adjustRightInd w:val="0"/>
        <w:snapToGrid w:val="0"/>
        <w:spacing w:line="360" w:lineRule="auto"/>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type="page"/>
      </w:r>
      <w:bookmarkEnd w:id="0"/>
      <w:bookmarkEnd w:id="1"/>
      <w:r>
        <w:rPr>
          <w:rFonts w:ascii="Times New Roman" w:hAnsi="Times New Roman" w:eastAsia="仿宋_GB2312" w:cs="Times New Roman"/>
          <w:kern w:val="0"/>
          <w:sz w:val="30"/>
          <w:szCs w:val="30"/>
        </w:rPr>
        <w:t xml:space="preserve">附录二            </w:t>
      </w:r>
    </w:p>
    <w:p>
      <w:pPr>
        <w:jc w:val="center"/>
        <w:rPr>
          <w:rFonts w:ascii="Times New Roman" w:hAnsi="黑体" w:eastAsia="黑体" w:cs="Times New Roman"/>
          <w:kern w:val="0"/>
          <w:sz w:val="30"/>
          <w:szCs w:val="30"/>
        </w:rPr>
      </w:pPr>
    </w:p>
    <w:p>
      <w:pPr>
        <w:jc w:val="center"/>
        <w:rPr>
          <w:rFonts w:ascii="Times New Roman" w:hAnsi="黑体" w:eastAsia="黑体" w:cs="Times New Roman"/>
          <w:kern w:val="0"/>
          <w:sz w:val="30"/>
          <w:szCs w:val="30"/>
        </w:rPr>
      </w:pPr>
      <w:r>
        <w:rPr>
          <w:rFonts w:ascii="Times New Roman" w:hAnsi="黑体" w:eastAsia="黑体" w:cs="Times New Roman"/>
          <w:kern w:val="0"/>
          <w:sz w:val="30"/>
          <w:szCs w:val="30"/>
        </w:rPr>
        <w:t>常见问题</w:t>
      </w:r>
    </w:p>
    <w:p>
      <w:pPr>
        <w:jc w:val="center"/>
        <w:rPr>
          <w:rFonts w:ascii="Times New Roman" w:hAnsi="Times New Roman" w:eastAsia="黑体" w:cs="Times New Roman"/>
          <w:kern w:val="0"/>
          <w:sz w:val="30"/>
          <w:szCs w:val="30"/>
        </w:rPr>
      </w:pP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1.问：内保外贷被担保事项涉及境外股权收购的，有什么特殊要求？</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答：担保事项涉及的境外股权收购需要境外投资主管部门批复的，企业应按照规定先获得境外投资主管部门相应批准。</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2.问：担保责任解除后还需要办理什么手续吗？</w:t>
      </w:r>
    </w:p>
    <w:p>
      <w:pPr>
        <w:rPr>
          <w:rFonts w:ascii="Times New Roman" w:hAnsi="Times New Roman" w:eastAsia="仿宋_GB2312" w:cs="Times New Roman"/>
          <w:sz w:val="30"/>
          <w:szCs w:val="30"/>
        </w:rPr>
      </w:pPr>
      <w:r>
        <w:rPr>
          <w:rFonts w:ascii="Times New Roman" w:hAnsi="Times New Roman" w:eastAsia="仿宋_GB2312" w:cs="Times New Roman"/>
          <w:kern w:val="0"/>
          <w:sz w:val="30"/>
          <w:szCs w:val="30"/>
        </w:rPr>
        <w:t xml:space="preserve">    答：非银行机构应在还清担保项下债务、担保人付款责任到期或发生担保履约后15个工作日内申请注销相关登记。</w:t>
      </w:r>
    </w:p>
    <w:sectPr>
      <w:headerReference r:id="rId4" w:type="default"/>
      <w:footerReference r:id="rId6" w:type="default"/>
      <w:headerReference r:id="rId5" w:type="even"/>
      <w:pgSz w:w="11906" w:h="16838"/>
      <w:pgMar w:top="1440" w:right="1800" w:bottom="1440" w:left="1800" w:header="851" w:footer="992" w:gutter="0"/>
      <w:pgNumType w:start="1"/>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altName w:val="仿宋_GB2312"/>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1</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59921">
    <w:nsid w:val="5A10F1D1"/>
    <w:multiLevelType w:val="singleLevel"/>
    <w:tmpl w:val="5A10F1D1"/>
    <w:lvl w:ilvl="0" w:tentative="1">
      <w:start w:val="2"/>
      <w:numFmt w:val="chineseCounting"/>
      <w:suff w:val="nothing"/>
      <w:lvlText w:val="%1、"/>
      <w:lvlJc w:val="left"/>
    </w:lvl>
  </w:abstractNum>
  <w:abstractNum w:abstractNumId="1511059936">
    <w:nsid w:val="5A10F1E0"/>
    <w:multiLevelType w:val="singleLevel"/>
    <w:tmpl w:val="5A10F1E0"/>
    <w:lvl w:ilvl="0" w:tentative="1">
      <w:start w:val="3"/>
      <w:numFmt w:val="chineseCounting"/>
      <w:suff w:val="nothing"/>
      <w:lvlText w:val="%1、"/>
      <w:lvlJc w:val="left"/>
    </w:lvl>
  </w:abstractNum>
  <w:num w:numId="1">
    <w:abstractNumId w:val="1511059921"/>
  </w:num>
  <w:num w:numId="2">
    <w:abstractNumId w:val="15110599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4"/>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5"/>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26"/>
    <w:qFormat/>
    <w:uiPriority w:val="9"/>
    <w:pPr>
      <w:ind w:right="300"/>
      <w:outlineLvl w:val="2"/>
    </w:pPr>
    <w:rPr>
      <w:rFonts w:ascii="仿宋_GB2312" w:hAnsi="Calibri" w:eastAsia="仿宋_GB2312" w:cs="Times New Roman"/>
      <w:sz w:val="30"/>
      <w:szCs w:val="30"/>
    </w:rPr>
  </w:style>
  <w:style w:type="character" w:default="1" w:styleId="13">
    <w:name w:val="Default Paragraph Font"/>
    <w:semiHidden/>
    <w:unhideWhenUsed/>
    <w:uiPriority w:val="1"/>
  </w:style>
  <w:style w:type="paragraph" w:styleId="5">
    <w:name w:val="Document Map"/>
    <w:basedOn w:val="1"/>
    <w:link w:val="35"/>
    <w:unhideWhenUsed/>
    <w:uiPriority w:val="0"/>
    <w:rPr>
      <w:rFonts w:ascii="宋体"/>
      <w:sz w:val="18"/>
      <w:szCs w:val="18"/>
    </w:rPr>
  </w:style>
  <w:style w:type="paragraph" w:styleId="6">
    <w:name w:val="annotation text"/>
    <w:basedOn w:val="1"/>
    <w:link w:val="32"/>
    <w:unhideWhenUsed/>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3"/>
    <w:semiHidden/>
    <w:qFormat/>
    <w:uiPriority w:val="0"/>
    <w:pPr>
      <w:snapToGrid w:val="0"/>
      <w:jc w:val="left"/>
    </w:pPr>
    <w:rPr>
      <w:rFonts w:ascii="Times New Roman" w:hAnsi="Times New Roman"/>
      <w:sz w:val="18"/>
      <w:szCs w:val="18"/>
    </w:rPr>
  </w:style>
  <w:style w:type="paragraph" w:styleId="11">
    <w:name w:val="HTML Preformatted"/>
    <w:basedOn w:val="1"/>
    <w:link w:val="31"/>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footnote reference"/>
    <w:unhideWhenUsed/>
    <w:qFormat/>
    <w:uiPriority w:val="0"/>
    <w:rPr>
      <w:rFonts w:ascii="Times New Roman" w:hAnsi="Times New Roman" w:cs="Times New Roman"/>
      <w:vertAlign w:val="superscript"/>
    </w:rPr>
  </w:style>
  <w:style w:type="paragraph" w:customStyle="1" w:styleId="16">
    <w:name w:val="List Paragraph"/>
    <w:basedOn w:val="1"/>
    <w:qFormat/>
    <w:uiPriority w:val="99"/>
    <w:pPr>
      <w:ind w:firstLine="420" w:firstLineChars="200"/>
    </w:pPr>
  </w:style>
  <w:style w:type="paragraph" w:customStyle="1" w:styleId="17">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18">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9">
    <w:name w:val="列出段落1"/>
    <w:basedOn w:val="1"/>
    <w:qFormat/>
    <w:uiPriority w:val="34"/>
    <w:pPr>
      <w:ind w:firstLine="420" w:firstLineChars="200"/>
    </w:pPr>
    <w:rPr>
      <w:rFonts w:ascii="Calibri" w:hAnsi="Calibri" w:eastAsia="宋体" w:cs="Times New Roman"/>
    </w:rPr>
  </w:style>
  <w:style w:type="paragraph" w:customStyle="1" w:styleId="20">
    <w:name w:val="列出段落4"/>
    <w:basedOn w:val="1"/>
    <w:qFormat/>
    <w:uiPriority w:val="0"/>
    <w:pPr>
      <w:ind w:firstLine="200" w:firstLineChars="200"/>
    </w:pPr>
    <w:rPr>
      <w:rFonts w:ascii="Calibri" w:hAnsi="Calibri" w:eastAsia="宋体" w:cs="Times New Roman"/>
    </w:rPr>
  </w:style>
  <w:style w:type="paragraph" w:customStyle="1" w:styleId="21">
    <w:name w:val="列出段落3"/>
    <w:basedOn w:val="1"/>
    <w:qFormat/>
    <w:uiPriority w:val="0"/>
    <w:pPr>
      <w:ind w:firstLine="420" w:firstLineChars="200"/>
    </w:pPr>
    <w:rPr>
      <w:rFonts w:ascii="Times New Roman" w:hAnsi="Times New Roman" w:eastAsia="宋体" w:cs="Times New Roman"/>
      <w:szCs w:val="24"/>
    </w:rPr>
  </w:style>
  <w:style w:type="paragraph" w:customStyle="1" w:styleId="22">
    <w:name w:val="p0"/>
    <w:basedOn w:val="1"/>
    <w:uiPriority w:val="0"/>
    <w:pPr>
      <w:widowControl/>
    </w:pPr>
    <w:rPr>
      <w:rFonts w:ascii="Calibri" w:hAnsi="Calibri" w:eastAsia="宋体" w:cs="宋体"/>
      <w:kern w:val="0"/>
      <w:szCs w:val="21"/>
    </w:rPr>
  </w:style>
  <w:style w:type="paragraph" w:customStyle="1" w:styleId="23">
    <w:name w:val="Revision"/>
    <w:hidden/>
    <w:semiHidden/>
    <w:uiPriority w:val="99"/>
    <w:rPr>
      <w:rFonts w:ascii="Calibri" w:hAnsi="Calibri" w:eastAsia="宋体" w:cs="黑体"/>
      <w:kern w:val="2"/>
      <w:sz w:val="21"/>
      <w:szCs w:val="22"/>
      <w:lang w:val="en-US" w:eastAsia="zh-CN" w:bidi="ar-SA"/>
    </w:rPr>
  </w:style>
  <w:style w:type="character" w:customStyle="1" w:styleId="24">
    <w:name w:val="标题 1 Char Char"/>
    <w:basedOn w:val="13"/>
    <w:link w:val="2"/>
    <w:uiPriority w:val="9"/>
    <w:rPr>
      <w:rFonts w:ascii="黑体" w:hAnsi="黑体" w:eastAsia="黑体" w:cs="宋体"/>
      <w:color w:val="000000"/>
      <w:kern w:val="0"/>
      <w:sz w:val="30"/>
      <w:szCs w:val="30"/>
    </w:rPr>
  </w:style>
  <w:style w:type="character" w:customStyle="1" w:styleId="25">
    <w:name w:val="标题 2 Char Char"/>
    <w:basedOn w:val="13"/>
    <w:link w:val="3"/>
    <w:uiPriority w:val="9"/>
    <w:rPr>
      <w:rFonts w:ascii="Cambria" w:hAnsi="Cambria" w:eastAsia="宋体" w:cs="Times New Roman"/>
      <w:b/>
      <w:bCs/>
      <w:sz w:val="32"/>
      <w:szCs w:val="32"/>
    </w:rPr>
  </w:style>
  <w:style w:type="character" w:customStyle="1" w:styleId="26">
    <w:name w:val="标题 3 Char Char"/>
    <w:basedOn w:val="13"/>
    <w:link w:val="4"/>
    <w:uiPriority w:val="9"/>
    <w:rPr>
      <w:rFonts w:ascii="仿宋_GB2312" w:hAnsi="Calibri" w:eastAsia="仿宋_GB2312" w:cs="Times New Roman"/>
      <w:sz w:val="30"/>
      <w:szCs w:val="30"/>
    </w:rPr>
  </w:style>
  <w:style w:type="character" w:customStyle="1" w:styleId="27">
    <w:name w:val="页眉 Char Char"/>
    <w:basedOn w:val="13"/>
    <w:link w:val="9"/>
    <w:uiPriority w:val="99"/>
    <w:rPr>
      <w:sz w:val="18"/>
      <w:szCs w:val="18"/>
    </w:rPr>
  </w:style>
  <w:style w:type="character" w:customStyle="1" w:styleId="28">
    <w:name w:val="页脚 Char Char"/>
    <w:basedOn w:val="13"/>
    <w:link w:val="8"/>
    <w:uiPriority w:val="99"/>
    <w:rPr>
      <w:sz w:val="18"/>
      <w:szCs w:val="18"/>
    </w:rPr>
  </w:style>
  <w:style w:type="character" w:customStyle="1" w:styleId="29">
    <w:name w:val="批注框文本 Char Char"/>
    <w:basedOn w:val="13"/>
    <w:link w:val="7"/>
    <w:uiPriority w:val="0"/>
    <w:rPr>
      <w:sz w:val="18"/>
      <w:szCs w:val="18"/>
    </w:rPr>
  </w:style>
  <w:style w:type="character" w:customStyle="1" w:styleId="30">
    <w:name w:val="批注框文本 Char1"/>
    <w:basedOn w:val="13"/>
    <w:semiHidden/>
    <w:uiPriority w:val="99"/>
    <w:rPr>
      <w:sz w:val="18"/>
      <w:szCs w:val="18"/>
    </w:rPr>
  </w:style>
  <w:style w:type="character" w:customStyle="1" w:styleId="31">
    <w:name w:val="HTML 预设格式 Char Char"/>
    <w:basedOn w:val="13"/>
    <w:link w:val="11"/>
    <w:uiPriority w:val="99"/>
    <w:rPr>
      <w:rFonts w:ascii="宋体" w:hAnsi="宋体" w:eastAsia="宋体" w:cs="宋体"/>
      <w:kern w:val="0"/>
      <w:sz w:val="24"/>
      <w:szCs w:val="24"/>
    </w:rPr>
  </w:style>
  <w:style w:type="character" w:customStyle="1" w:styleId="32">
    <w:name w:val="批注文字 Char Char"/>
    <w:basedOn w:val="13"/>
    <w:link w:val="6"/>
    <w:uiPriority w:val="99"/>
    <w:rPr>
      <w:rFonts w:ascii="Calibri" w:hAnsi="Calibri" w:eastAsia="宋体" w:cs="Times New Roman"/>
    </w:rPr>
  </w:style>
  <w:style w:type="character" w:customStyle="1" w:styleId="33">
    <w:name w:val="脚注文本 Char Char"/>
    <w:basedOn w:val="13"/>
    <w:link w:val="10"/>
    <w:uiPriority w:val="0"/>
    <w:rPr>
      <w:rFonts w:ascii="Times New Roman" w:hAnsi="Times New Roman"/>
      <w:sz w:val="18"/>
      <w:szCs w:val="18"/>
    </w:rPr>
  </w:style>
  <w:style w:type="character" w:customStyle="1" w:styleId="34">
    <w:name w:val="标题 4 Char Char"/>
    <w:qFormat/>
    <w:uiPriority w:val="0"/>
    <w:rPr>
      <w:rFonts w:ascii="Calibri" w:hAnsi="Calibri"/>
      <w:b/>
      <w:bCs/>
      <w:sz w:val="28"/>
      <w:szCs w:val="28"/>
      <w:lang w:eastAsia="en-US" w:bidi="en-US"/>
    </w:rPr>
  </w:style>
  <w:style w:type="character" w:customStyle="1" w:styleId="35">
    <w:name w:val="文档结构图 Char Char"/>
    <w:basedOn w:val="13"/>
    <w:link w:val="5"/>
    <w:uiPriority w:val="0"/>
    <w:rPr>
      <w:rFonts w:ascii="宋体"/>
      <w:sz w:val="18"/>
      <w:szCs w:val="18"/>
    </w:rPr>
  </w:style>
  <w:style w:type="character" w:customStyle="1" w:styleId="36">
    <w:name w:val="Intense Emphasis"/>
    <w:basedOn w:val="13"/>
    <w:qFormat/>
    <w:uiPriority w:val="21"/>
    <w:rPr>
      <w:b/>
      <w:bCs/>
      <w:i/>
      <w:iCs/>
      <w:color w:val="4F81BD"/>
    </w:rPr>
  </w:style>
  <w:style w:type="character" w:customStyle="1" w:styleId="37">
    <w:name w:val="文档结构图 Char1"/>
    <w:basedOn w:val="13"/>
    <w:semiHidden/>
    <w:uiPriority w:val="99"/>
    <w:rPr>
      <w:rFonts w:ascii="宋体" w:eastAsia="宋体"/>
      <w:sz w:val="18"/>
      <w:szCs w:val="18"/>
    </w:rPr>
  </w:style>
  <w:style w:type="character" w:customStyle="1" w:styleId="38">
    <w:name w:val="脚注文本 Char2"/>
    <w:basedOn w:val="13"/>
    <w:semiHidden/>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theme" Target="theme/theme1.xml"/><Relationship Id="rId8"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9</Pages>
  <Words>451</Words>
  <Characters>2577</Characters>
  <Lines>21</Lines>
  <Paragraphs>6</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2020-06-24T08:20:00Z</dcterms:created>
  <dc:creator>朱敏1</dc:creator>
  <cp:lastModifiedBy>杜鑫/外汇管理处/银川/PBC</cp:lastModifiedBy>
  <cp:lastPrinted>2021-04-25T12:36:00Z</cp:lastPrinted>
  <dcterms:modified xsi:type="dcterms:W3CDTF">2021-04-27T09:17:18Z</dcterms:modified>
  <dc:title>编号：57006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