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Times New Roman" w:hAnsi="Times New Roman"/>
          <w:sz w:val="28"/>
          <w:szCs w:val="28"/>
        </w:rPr>
      </w:pPr>
      <w:bookmarkStart w:id="0" w:name="_Toc54703081"/>
      <w:r>
        <w:rPr>
          <w:rFonts w:hint="eastAsia" w:ascii="Times New Roman" w:hAnsi="Times New Roman"/>
          <w:sz w:val="28"/>
          <w:szCs w:val="28"/>
        </w:rPr>
        <w:t>境外上市登记表</w:t>
      </w:r>
      <w:bookmarkEnd w:id="0"/>
    </w:p>
    <w:p>
      <w:pPr>
        <w:spacing w:line="400" w:lineRule="exact"/>
        <w:jc w:val="left"/>
        <w:rPr>
          <w:rFonts w:eastAsia="华文楷体"/>
          <w:sz w:val="24"/>
        </w:rPr>
      </w:pPr>
      <w:r>
        <w:rPr>
          <w:rFonts w:hint="eastAsia" w:eastAsia="华文楷体"/>
          <w:sz w:val="24"/>
        </w:rPr>
        <w:t>登记类别：□登记</w:t>
      </w:r>
      <w:r>
        <w:rPr>
          <w:rFonts w:hint="eastAsia" w:eastAsia="华文楷体"/>
          <w:sz w:val="24"/>
          <w:lang w:val="en-US" w:eastAsia="zh-CN"/>
        </w:rPr>
        <w:t xml:space="preserve">  </w:t>
      </w:r>
      <w:r>
        <w:rPr>
          <w:rFonts w:hint="eastAsia" w:eastAsia="华文楷体"/>
          <w:sz w:val="24"/>
        </w:rPr>
        <w:t>□变更登记</w:t>
      </w:r>
      <w:r>
        <w:rPr>
          <w:rFonts w:hint="eastAsia" w:eastAsia="华文楷体"/>
          <w:sz w:val="24"/>
          <w:lang w:val="en-US" w:eastAsia="zh-CN"/>
        </w:rPr>
        <w:t xml:space="preserve">     </w:t>
      </w:r>
      <w:bookmarkStart w:id="1" w:name="_GoBack"/>
      <w:bookmarkEnd w:id="1"/>
      <w:r>
        <w:rPr>
          <w:rFonts w:hint="eastAsia" w:eastAsia="华文楷体"/>
          <w:sz w:val="24"/>
        </w:rPr>
        <w:t>编号（外汇局填写）：</w:t>
      </w:r>
    </w:p>
    <w:tbl>
      <w:tblPr>
        <w:tblStyle w:val="6"/>
        <w:tblW w:w="8897"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境内公司名称</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上市地及证券交易所</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上市时间</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证监会批准文号</w:t>
            </w:r>
          </w:p>
        </w:tc>
        <w:tc>
          <w:tcPr>
            <w:tcW w:w="6401" w:type="dxa"/>
            <w:gridSpan w:val="21"/>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证券名称</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证券代码</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总股数</w:t>
            </w:r>
          </w:p>
        </w:tc>
        <w:tc>
          <w:tcPr>
            <w:tcW w:w="873"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530"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总股本金额</w:t>
            </w:r>
          </w:p>
        </w:tc>
        <w:tc>
          <w:tcPr>
            <w:tcW w:w="144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总股本变更原因</w:t>
            </w:r>
          </w:p>
        </w:tc>
        <w:tc>
          <w:tcPr>
            <w:tcW w:w="6401" w:type="dxa"/>
            <w:gridSpan w:val="21"/>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□增发（含超额配售）□回购□可转债转股</w:t>
            </w:r>
          </w:p>
          <w:p>
            <w:pPr>
              <w:spacing w:line="340" w:lineRule="exact"/>
              <w:jc w:val="left"/>
              <w:rPr>
                <w:rFonts w:eastAsia="华文楷体"/>
                <w:sz w:val="24"/>
              </w:rPr>
            </w:pPr>
            <w:r>
              <w:rPr>
                <w:rFonts w:hint="eastAsia" w:eastAsia="华文楷体"/>
                <w:sz w:val="24"/>
              </w:rPr>
              <w:t>□资本公积、盈余公积、未分配利润转增股本</w:t>
            </w:r>
          </w:p>
          <w:p>
            <w:pPr>
              <w:spacing w:line="340" w:lineRule="exact"/>
              <w:jc w:val="left"/>
              <w:rPr>
                <w:rFonts w:eastAsia="华文楷体"/>
                <w:sz w:val="24"/>
              </w:rPr>
            </w:pPr>
            <w:r>
              <w:rPr>
                <w:rFonts w:hint="eastAsia" w:eastAsia="华文楷体"/>
                <w:sz w:val="24"/>
              </w:rPr>
              <w:t>□其他</w:t>
            </w:r>
            <w:r>
              <w:rPr>
                <w:rFonts w:hint="eastAsia" w:eastAsia="华文楷体"/>
                <w:sz w:val="24"/>
                <w:u w:val="single"/>
              </w:rPr>
              <w:t>（具体说明：）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联系人</w:t>
            </w:r>
          </w:p>
        </w:tc>
        <w:tc>
          <w:tcPr>
            <w:tcW w:w="4037"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联系电话</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482"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名称（或姓名）</w:t>
            </w:r>
          </w:p>
        </w:tc>
        <w:tc>
          <w:tcPr>
            <w:tcW w:w="182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统一社会信用代码</w:t>
            </w:r>
          </w:p>
        </w:tc>
        <w:tc>
          <w:tcPr>
            <w:tcW w:w="1526"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持股比例</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境内股东</w:t>
            </w:r>
            <w:r>
              <w:rPr>
                <w:rFonts w:eastAsia="华文楷体"/>
                <w:sz w:val="24"/>
              </w:rPr>
              <w:t>1</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境内股东</w:t>
            </w:r>
            <w:r>
              <w:rPr>
                <w:rFonts w:eastAsia="华文楷体"/>
                <w:sz w:val="24"/>
              </w:rPr>
              <w:t>2</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eastAsia="华文楷体"/>
                <w:sz w:val="24"/>
              </w:rPr>
              <w:t>……</w:t>
            </w:r>
            <w:r>
              <w:rPr>
                <w:rFonts w:hint="eastAsia" w:eastAsia="华文楷体"/>
                <w:sz w:val="24"/>
              </w:rPr>
              <w:t>（可加行）</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发行方式</w:t>
            </w:r>
          </w:p>
        </w:tc>
        <w:tc>
          <w:tcPr>
            <w:tcW w:w="7385" w:type="dxa"/>
            <w:gridSpan w:val="2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□首次发行□增发（含超额配售）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发行种类</w:t>
            </w:r>
          </w:p>
        </w:tc>
        <w:tc>
          <w:tcPr>
            <w:tcW w:w="3462" w:type="dxa"/>
            <w:gridSpan w:val="1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股票</w:t>
            </w:r>
          </w:p>
        </w:tc>
        <w:tc>
          <w:tcPr>
            <w:tcW w:w="1559"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存托凭证</w:t>
            </w:r>
          </w:p>
        </w:tc>
        <w:tc>
          <w:tcPr>
            <w:tcW w:w="2364"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普通股</w:t>
            </w: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优先股</w:t>
            </w:r>
          </w:p>
        </w:tc>
        <w:tc>
          <w:tcPr>
            <w:tcW w:w="1559"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36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名称及代码</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发行时间</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发行数量</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实际募集资金</w:t>
            </w:r>
          </w:p>
        </w:tc>
        <w:tc>
          <w:tcPr>
            <w:tcW w:w="7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金额</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4208" w:type="dxa"/>
            <w:gridSpan w:val="17"/>
            <w:tcBorders>
              <w:top w:val="single" w:color="auto" w:sz="4" w:space="0"/>
              <w:left w:val="single" w:color="auto" w:sz="4" w:space="0"/>
              <w:bottom w:val="single" w:color="auto" w:sz="4" w:space="0"/>
              <w:right w:val="single" w:color="auto" w:sz="4" w:space="0"/>
            </w:tcBorders>
            <w:vAlign w:val="center"/>
          </w:tcPr>
          <w:p>
            <w:pPr>
              <w:jc w:val="center"/>
              <w:rPr>
                <w:rFonts w:eastAsia="华文楷体"/>
                <w:sz w:val="24"/>
              </w:rPr>
            </w:pPr>
            <w:r>
              <w:rPr>
                <w:rFonts w:hint="eastAsia" w:eastAsia="华文楷体"/>
                <w:sz w:val="24"/>
              </w:rPr>
              <w:t>合计金额（折美元）</w:t>
            </w:r>
          </w:p>
        </w:tc>
        <w:tc>
          <w:tcPr>
            <w:tcW w:w="3923"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国有股减持上缴社保基金情况</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国有股东减持股数</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660"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9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8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国有股东上缴社保基金股数</w:t>
            </w:r>
          </w:p>
        </w:tc>
        <w:tc>
          <w:tcPr>
            <w:tcW w:w="118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65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上缴社保基金金额</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9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募集资金运用计划</w:t>
            </w: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用途</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金额</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28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eastAsia="华文楷体"/>
                <w:sz w:val="24"/>
              </w:rPr>
            </w:pPr>
            <w:r>
              <w:rPr>
                <w:rFonts w:hint="eastAsia" w:eastAsia="华文楷体"/>
                <w:sz w:val="24"/>
              </w:rPr>
              <w:t>其中</w:t>
            </w:r>
            <w:r>
              <w:rPr>
                <w:rFonts w:eastAsia="华文楷体"/>
                <w:sz w:val="24"/>
              </w:rPr>
              <w:t>:</w:t>
            </w:r>
            <w:r>
              <w:rPr>
                <w:rFonts w:hint="eastAsia" w:eastAsia="华文楷体"/>
                <w:sz w:val="24"/>
              </w:rPr>
              <w:t>结汇</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2"/>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2"/>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账户信息</w:t>
            </w:r>
          </w:p>
        </w:tc>
        <w:tc>
          <w:tcPr>
            <w:tcW w:w="2611"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开户银行</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资本金账户账号</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募集资金实际运用情况</w:t>
            </w: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用途</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金额</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28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其中</w:t>
            </w:r>
            <w:r>
              <w:rPr>
                <w:rFonts w:eastAsia="华文楷体"/>
                <w:sz w:val="24"/>
              </w:rPr>
              <w:t>:</w:t>
            </w:r>
            <w:r>
              <w:rPr>
                <w:rFonts w:hint="eastAsia" w:eastAsia="华文楷体"/>
                <w:sz w:val="24"/>
              </w:rPr>
              <w:t>结汇</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证监会许可文号（如有）</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w:t>
            </w:r>
          </w:p>
          <w:p>
            <w:pPr>
              <w:spacing w:line="340" w:lineRule="exact"/>
              <w:jc w:val="left"/>
              <w:rPr>
                <w:rFonts w:eastAsia="华文楷体"/>
                <w:sz w:val="24"/>
              </w:rPr>
            </w:pPr>
            <w:r>
              <w:rPr>
                <w:rFonts w:hint="eastAsia" w:eastAsia="华文楷体"/>
                <w:sz w:val="24"/>
              </w:rPr>
              <w:t>计划</w:t>
            </w: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计划使用金额</w:t>
            </w:r>
          </w:p>
        </w:tc>
        <w:tc>
          <w:tcPr>
            <w:tcW w:w="204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w:t>
            </w:r>
          </w:p>
          <w:p>
            <w:pPr>
              <w:spacing w:line="340" w:lineRule="exact"/>
              <w:jc w:val="left"/>
              <w:rPr>
                <w:rFonts w:eastAsia="华文楷体"/>
                <w:sz w:val="24"/>
              </w:rPr>
            </w:pPr>
            <w:r>
              <w:rPr>
                <w:rFonts w:hint="eastAsia" w:eastAsia="华文楷体"/>
                <w:sz w:val="24"/>
              </w:rPr>
              <w:t>汇出</w:t>
            </w: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w:t>
            </w:r>
          </w:p>
          <w:p>
            <w:pPr>
              <w:spacing w:line="340" w:lineRule="exact"/>
              <w:jc w:val="left"/>
              <w:rPr>
                <w:rFonts w:eastAsia="华文楷体"/>
                <w:sz w:val="24"/>
              </w:rPr>
            </w:pPr>
            <w:r>
              <w:rPr>
                <w:rFonts w:hint="eastAsia" w:eastAsia="华文楷体"/>
                <w:sz w:val="24"/>
              </w:rPr>
              <w:t>完成</w:t>
            </w:r>
          </w:p>
          <w:p>
            <w:pPr>
              <w:spacing w:line="340" w:lineRule="exact"/>
              <w:jc w:val="left"/>
              <w:rPr>
                <w:rFonts w:eastAsia="华文楷体"/>
                <w:sz w:val="24"/>
              </w:rPr>
            </w:pPr>
            <w:r>
              <w:rPr>
                <w:rFonts w:hint="eastAsia" w:eastAsia="华文楷体"/>
                <w:sz w:val="24"/>
              </w:rPr>
              <w:t>情况</w:t>
            </w: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实际使用金额</w:t>
            </w:r>
          </w:p>
        </w:tc>
        <w:tc>
          <w:tcPr>
            <w:tcW w:w="204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回购剩余资金调回</w:t>
            </w:r>
          </w:p>
        </w:tc>
        <w:tc>
          <w:tcPr>
            <w:tcW w:w="1343" w:type="dxa"/>
            <w:gridSpan w:val="7"/>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调回资金</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43" w:type="dxa"/>
            <w:gridSpan w:val="7"/>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4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折美元合计</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证监会许可文号（如有）</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外债登记编号</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转换比例</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债转股前债券总数</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债转股前总股数</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本次转换债券数</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本次转换股数</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keepNext/>
              <w:keepLines/>
              <w:spacing w:line="520" w:lineRule="exact"/>
              <w:jc w:val="center"/>
              <w:outlineLvl w:val="0"/>
              <w:rPr>
                <w:rFonts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460" w:lineRule="exact"/>
              <w:ind w:firstLine="482" w:firstLineChars="200"/>
              <w:rPr>
                <w:rFonts w:eastAsia="华文楷体"/>
                <w:b/>
                <w:sz w:val="24"/>
              </w:rPr>
            </w:pPr>
            <w:r>
              <w:rPr>
                <w:rFonts w:hint="eastAsia" w:eastAsia="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keepNext/>
              <w:keepLines/>
              <w:spacing w:line="460" w:lineRule="exact"/>
              <w:jc w:val="center"/>
              <w:outlineLvl w:val="2"/>
              <w:rPr>
                <w:rFonts w:eastAsia="华文楷体"/>
                <w:b/>
                <w:sz w:val="24"/>
              </w:rPr>
            </w:pPr>
          </w:p>
          <w:p>
            <w:pPr>
              <w:spacing w:line="460" w:lineRule="exact"/>
              <w:ind w:firstLine="2289" w:firstLineChars="950"/>
              <w:rPr>
                <w:rFonts w:eastAsia="华文楷体"/>
                <w:b/>
                <w:sz w:val="24"/>
              </w:rPr>
            </w:pPr>
            <w:r>
              <w:rPr>
                <w:rFonts w:hint="eastAsia" w:eastAsia="华文楷体"/>
                <w:b/>
                <w:sz w:val="24"/>
              </w:rPr>
              <w:t>境外上市的境内公司（名称及公章）：</w:t>
            </w:r>
          </w:p>
          <w:p>
            <w:pPr>
              <w:spacing w:line="460" w:lineRule="exact"/>
              <w:jc w:val="center"/>
              <w:rPr>
                <w:rFonts w:eastAsia="华文楷体"/>
                <w:b/>
                <w:sz w:val="24"/>
              </w:rPr>
            </w:pPr>
            <w:r>
              <w:rPr>
                <w:rFonts w:eastAsia="华文楷体"/>
                <w:b/>
                <w:sz w:val="24"/>
              </w:rPr>
              <w:t xml:space="preserve">                  年      </w:t>
            </w:r>
            <w:r>
              <w:rPr>
                <w:rFonts w:hint="eastAsia" w:eastAsia="华文楷体"/>
                <w:b/>
                <w:sz w:val="24"/>
              </w:rPr>
              <w:t>月日</w:t>
            </w:r>
          </w:p>
        </w:tc>
      </w:tr>
    </w:tbl>
    <w:p>
      <w:pPr>
        <w:rPr>
          <w:rFonts w:eastAsia="华文仿宋"/>
          <w:b/>
        </w:rPr>
      </w:pPr>
      <w:r>
        <w:rPr>
          <w:rFonts w:hint="eastAsia" w:eastAsia="华文仿宋"/>
          <w:b/>
        </w:rPr>
        <w:t>填表说明：</w:t>
      </w:r>
    </w:p>
    <w:p>
      <w:pPr>
        <w:rPr>
          <w:rFonts w:eastAsia="华文仿宋"/>
        </w:rPr>
      </w:pPr>
      <w:r>
        <w:rPr>
          <w:rFonts w:eastAsia="华文仿宋"/>
        </w:rPr>
        <w:t>1</w:t>
      </w:r>
      <w:r>
        <w:rPr>
          <w:rFonts w:hint="eastAsia" w:eastAsia="华文仿宋"/>
        </w:rPr>
        <w:t>、境内公司填报本登记表，外汇局审核无误并在资本项目信息系统办理登记后，将加盖业务印章的业务登记凭证交境内公司。</w:t>
      </w:r>
    </w:p>
    <w:p>
      <w:pPr>
        <w:rPr>
          <w:rFonts w:eastAsia="华文仿宋"/>
        </w:rPr>
      </w:pPr>
      <w:r>
        <w:rPr>
          <w:rFonts w:eastAsia="华文仿宋"/>
        </w:rPr>
        <w:t>2</w:t>
      </w:r>
      <w:r>
        <w:rPr>
          <w:rFonts w:hint="eastAsia" w:eastAsia="华文仿宋"/>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同时收回原业务登记凭证。</w:t>
      </w:r>
    </w:p>
    <w:p>
      <w:r>
        <w:rPr>
          <w:rFonts w:eastAsia="华文仿宋"/>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40BC"/>
    <w:rsid w:val="001D3BCC"/>
    <w:rsid w:val="00301444"/>
    <w:rsid w:val="008E40BC"/>
    <w:rsid w:val="00B2523C"/>
    <w:rsid w:val="00E354DE"/>
    <w:rsid w:val="17CF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2 Char"/>
    <w:basedOn w:val="5"/>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218</Words>
  <Characters>1245</Characters>
  <Lines>10</Lines>
  <Paragraphs>2</Paragraphs>
  <TotalTime>1</TotalTime>
  <ScaleCrop>false</ScaleCrop>
  <LinksUpToDate>false</LinksUpToDate>
  <CharactersWithSpaces>1461</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2022-12-28T12:04:00Z</dcterms:created>
  <dc:creator>kylin</dc:creator>
  <cp:lastModifiedBy>郭廷坦/济宁/PBC</cp:lastModifiedBy>
  <dcterms:modified xsi:type="dcterms:W3CDTF">2023-02-08T06:34:23Z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