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省级分局和计划单列市分局办理的境外上市公司境内股东持股登记</w:t>
      </w:r>
    </w:p>
    <w:p>
      <w:pPr>
        <w:jc w:val="center"/>
        <w:rPr>
          <w:rFonts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【000171107003】</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省级分局和计划单列市分局办理的境外上市公司境内股东持股登记【000171107003】</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1.省级分局和计划单列市分局办理的境外上市公司境内股东持股新办登记(00017110700301)</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2.省级分局和计划单列市分局办理的境外上市公司境内股东持股变更登记(00017110700302)(草稿)</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（1）《中华人民共和国外汇管理条例》第十七条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（1）《国家外汇管理局关于境外上市外汇管理有关问题的通知》（汇发〔2014〕54号）第四条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（2）《国家外汇管理局关于全面推开H股“全流通” 改革所涉外汇管理工作的批复》（汇复〔2014〕54号）第一条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（3）《国家外汇管理局行政许可实施办法》（国家外汇管理局公告2021年第1号）</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国家外汇局省级分局和计划单列市分局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省级/直属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省级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境外上市公司境内股东持股登记及变更登记</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1.省级分局和计划单列市分局办理的境外上市公司境内股东持股新办登记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（1）境内公司在境外上市。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（2）境外上市公司境内股东拟增持或减持境外上市公司股份。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2.省级分局和计划单列市分局办理的境外上市公司境内股东持股变更登记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境外上市公司境内股东持股登记后，实际增持或减持情况与登记情形不一致。</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自然人,企业法人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1.省级分局和计划单列市分局办理的境外上市公司境内股东持股新办登记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（1）营业执照（或统一社会信用代码证、身份证件）原件或加盖公章的复印件1份。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（2）加盖公章的书面申请原件1份（附《境外持股登记表》。</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（3）关于增持或减持事项的董事会或股东大会决议（如有）原件及加盖公章的复印件各1份（验原件，留存复印件）。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需经财政部门、国有资产管理部门等相关部门批准的，应提供相关部门的批准文件。参与H股“全流通”的境内股东，应提供证监会批准参加H股“全流通”业务的批复文件，以及关于境内股东原非境外上市股份转境外上市股份的相关证明材料原件及加盖公章的复印件各1份（验原件，留存复印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2.省级分局和计划单列市分局办理的境外上市公司境内股东持股变更登记</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（1）营业执照（或统一社会信用代码证、身份证件）原件或加盖公章的复印件1份。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（2）书面申请1份。最新填写的《境外持股登记表》1份。</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（3）相关交易真实性证明材料原件及加盖公章的复印件各1份（验原件，留存复印件）。</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国家外汇管理局关于境外上市外汇管理有关问题的通知》（汇发〔2014〕54号）第四条境内公司境外上市后，其境内股东根据有关规定拟增持或减持境外上市公司股份的，应在拟增持或减持前20个工作日内，持下列材料到境内股东所在地外汇局办理境外持股登记：(一)书面申请，并附《境外持股登记表》；(二)关于增持或减持事项的董事会或股东大会决议(如有)；(三)需经财政部门、国有资产管理部门等相关部门批准的，应提供相关部门的批准文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600" w:lineRule="exact"/>
        <w:ind w:firstLine="560" w:firstLineChars="200"/>
        <w:rPr>
          <w:rFonts w:ascii="方正仿宋_GBK" w:hAnsi="方正仿宋_GBK" w:eastAsia="方正仿宋_GBK" w:cs="方正仿宋_GBK"/>
          <w:sz w:val="28"/>
          <w:szCs w:val="28"/>
        </w:rPr>
      </w:pPr>
      <w:r>
        <w:rPr>
          <w:rFonts w:hint="eastAsia" w:ascii="仿宋" w:hAnsi="仿宋" w:eastAsia="仿宋" w:cs="仿宋"/>
          <w:b/>
          <w:bCs/>
          <w:color w:val="auto"/>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val="0"/>
          <w:bCs w:val="0"/>
          <w:color w:val="auto"/>
          <w:sz w:val="28"/>
          <w:szCs w:val="28"/>
        </w:rPr>
      </w:pPr>
      <w:bookmarkStart w:id="0" w:name="_Toc625546740_WPSOffice_Level1"/>
      <w:r>
        <w:rPr>
          <w:rFonts w:hint="eastAsia" w:ascii="黑体" w:hAnsi="黑体" w:eastAsia="黑体" w:cs="黑体"/>
          <w:b w:val="0"/>
          <w:bCs w:val="0"/>
          <w:color w:val="auto"/>
          <w:sz w:val="28"/>
          <w:szCs w:val="28"/>
        </w:rPr>
        <w:t>十五、业务办理信息</w:t>
      </w:r>
      <w:bookmarkEnd w:id="0"/>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b w:val="0"/>
          <w:bCs w:val="0"/>
          <w:color w:val="auto"/>
          <w:sz w:val="28"/>
          <w:szCs w:val="28"/>
        </w:rPr>
      </w:pPr>
      <w:r>
        <w:rPr>
          <w:rFonts w:hint="eastAsia" w:ascii="仿宋" w:hAnsi="仿宋" w:eastAsia="仿宋" w:cs="仿宋"/>
          <w:b/>
          <w:bCs/>
          <w:color w:val="auto"/>
          <w:sz w:val="28"/>
          <w:szCs w:val="28"/>
        </w:rPr>
        <w:t>5.是否网办：</w:t>
      </w:r>
      <w:r>
        <w:rPr>
          <w:rFonts w:hint="eastAsia" w:ascii="方正仿宋_GBK" w:hAnsi="方正仿宋_GBK" w:eastAsia="方正仿宋_GBK" w:cs="方正仿宋_GBK"/>
          <w:sz w:val="28"/>
          <w:szCs w:val="28"/>
          <w:lang w:val="en-US" w:eastAsia="zh-CN"/>
        </w:rPr>
        <w:t>是</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kern w:val="2"/>
          <w:sz w:val="28"/>
          <w:szCs w:val="28"/>
          <w:lang w:val="en-US" w:eastAsia="zh-CN" w:bidi="ar-SA"/>
        </w:rPr>
      </w:pPr>
      <w:r>
        <w:rPr>
          <w:rFonts w:hint="eastAsia" w:ascii="仿宋" w:hAnsi="仿宋" w:eastAsia="仿宋" w:cs="仿宋"/>
          <w:b/>
          <w:bCs/>
          <w:color w:val="auto"/>
          <w:sz w:val="28"/>
          <w:szCs w:val="28"/>
        </w:rPr>
        <w:t>6.网上办理深度：</w:t>
      </w:r>
      <w:r>
        <w:rPr>
          <w:rFonts w:hint="eastAsia" w:ascii="方正仿宋_GBK" w:hAnsi="方正仿宋_GBK" w:eastAsia="方正仿宋_GBK" w:cs="方正仿宋_GBK"/>
          <w:sz w:val="28"/>
          <w:szCs w:val="28"/>
          <w:lang w:val="en-US" w:eastAsia="zh-CN"/>
        </w:rPr>
        <w:t>互联网办理</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7.到办事现场次数：</w:t>
      </w:r>
      <w:r>
        <w:rPr>
          <w:rFonts w:hint="eastAsia" w:ascii="方正仿宋_GBK" w:hAnsi="方正仿宋_GBK" w:eastAsia="方正仿宋_GBK" w:cs="方正仿宋_GBK"/>
          <w:sz w:val="28"/>
          <w:szCs w:val="28"/>
          <w:lang w:val="en-US" w:eastAsia="zh-CN"/>
        </w:rPr>
        <w:t>0</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8.必须现场办理原因说明：</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10.办理地点：</w:t>
      </w:r>
      <w:r>
        <w:rPr>
          <w:rFonts w:hint="eastAsia" w:ascii="方正仿宋_GBK" w:hAnsi="方正仿宋_GBK" w:eastAsia="方正仿宋_GBK" w:cs="方正仿宋_GBK"/>
          <w:sz w:val="28"/>
          <w:szCs w:val="28"/>
          <w:lang w:val="en-US" w:eastAsia="zh-CN"/>
        </w:rPr>
        <w:t>吉林省长春市人民大街2133号 吉林省金融大厦3楼外汇行政审批窗口</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11.办理时间：</w:t>
      </w:r>
      <w:r>
        <w:rPr>
          <w:rFonts w:hint="eastAsia" w:ascii="方正仿宋_GBK" w:hAnsi="方正仿宋_GBK" w:eastAsia="方正仿宋_GBK" w:cs="方正仿宋_GBK"/>
          <w:sz w:val="28"/>
          <w:szCs w:val="28"/>
          <w:lang w:val="en-US" w:eastAsia="zh-CN"/>
        </w:rPr>
        <w:t>周一至周五（法定节假日除外）</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上午8：30～11：30，下午13：30～17：00</w:t>
      </w:r>
    </w:p>
    <w:p>
      <w:pPr>
        <w:pStyle w:val="2"/>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12.咨询方式：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咨询电话：外汇行政审批窗口：0431-88945674</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经常项目业务：0431-88572449</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资本项目业务：0431-88572930</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国际收支业务：0431-88572482</w:t>
      </w:r>
    </w:p>
    <w:p>
      <w:pPr>
        <w:widowControl w:val="0"/>
        <w:wordWrap/>
        <w:adjustRightInd/>
        <w:snapToGrid/>
        <w:spacing w:before="0" w:after="0" w:line="540" w:lineRule="exact"/>
        <w:ind w:left="0" w:leftChars="0" w:right="0" w:firstLine="560" w:firstLineChars="200"/>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t>13.监督投诉方式：</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（1）投诉电话：0431-88572601</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（2）投诉网站：国家外汇管理局吉林省分局子网站</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 xml:space="preserve">              （www.safe.gov.cn/jilin/）</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15.是否支持物流快递：</w:t>
      </w:r>
      <w:bookmarkStart w:id="1" w:name="_GoBack"/>
      <w:r>
        <w:rPr>
          <w:rFonts w:hint="eastAsia" w:ascii="方正仿宋_GBK" w:hAnsi="方正仿宋_GBK" w:eastAsia="方正仿宋_GBK" w:cs="方正仿宋_GBK"/>
          <w:sz w:val="28"/>
          <w:szCs w:val="28"/>
          <w:lang w:val="en-US" w:eastAsia="zh-CN"/>
        </w:rPr>
        <w:t>否</w:t>
      </w:r>
      <w:bookmarkEnd w:id="1"/>
    </w:p>
    <w:p>
      <w:pPr>
        <w:spacing w:line="540" w:lineRule="exact"/>
        <w:outlineLvl w:val="1"/>
        <w:rPr>
          <w:rFonts w:ascii="Times New Roman" w:hAnsi="Times New Roman" w:eastAsia="黑体"/>
          <w:sz w:val="28"/>
          <w:szCs w:val="28"/>
        </w:rPr>
      </w:pP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方正隶书_GBK">
    <w:altName w:val="宋体"/>
    <w:panose1 w:val="02000000000000000000"/>
    <w:charset w:val="86"/>
    <w:family w:val="auto"/>
    <w:pitch w:val="default"/>
    <w:sig w:usb0="00000001" w:usb1="0800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paragraph" w:styleId="2">
    <w:name w:val="toc 3"/>
    <w:basedOn w:val="1"/>
    <w:next w:val="1"/>
    <w:semiHidden/>
    <w:unhideWhenUsed/>
    <w:uiPriority w:val="39"/>
    <w:pPr>
      <w:ind w:left="840" w:leftChars="400"/>
    </w:pPr>
  </w:style>
  <w:style w:type="paragraph" w:styleId="3">
    <w:name w:val="footer"/>
    <w:basedOn w:val="1"/>
    <w:link w:val="7"/>
    <w:semiHidden/>
    <w:unhideWhenUsed/>
    <w:uiPriority w:val="99"/>
    <w:pPr>
      <w:tabs>
        <w:tab w:val="center" w:pos="4153"/>
        <w:tab w:val="right" w:pos="8306"/>
      </w:tabs>
      <w:snapToGrid w:val="0"/>
      <w:jc w:val="left"/>
    </w:pPr>
    <w:rPr>
      <w:sz w:val="18"/>
      <w:szCs w:val="18"/>
    </w:rPr>
  </w:style>
  <w:style w:type="paragraph" w:styleId="4">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Char"/>
    <w:basedOn w:val="5"/>
    <w:link w:val="4"/>
    <w:uiPriority w:val="99"/>
    <w:rPr>
      <w:rFonts w:ascii="Calibri" w:hAnsi="Calibri" w:eastAsia="宋体" w:cs="Times New Roman"/>
      <w:sz w:val="18"/>
      <w:szCs w:val="18"/>
    </w:rPr>
  </w:style>
  <w:style w:type="character" w:customStyle="1" w:styleId="7">
    <w:name w:val="页脚 Char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594</Words>
  <Characters>3386</Characters>
  <Lines>28</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2023-09-28T07:26:00Z</dcterms:created>
  <dc:creator>kylin</dc:creator>
  <cp:lastModifiedBy>wangxm</cp:lastModifiedBy>
  <dcterms:modified xsi:type="dcterms:W3CDTF">2024-03-27T02:48:29Z</dcterms:modified>
  <dc:title>省级分局和计划单列市分局办理的境外上市公司境内股东持股登记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