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地（市）分局办理的境内公司境外上市或发行境外存托凭证登记</w:t>
      </w:r>
    </w:p>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【000171107009】</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跨境证券、衍生产品外汇业务核准【00017110700Y】</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地（市）分局办理的境内公司境外上市或发行境外存托凭证登记【000171107009】</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1.地（市）分局办理的境内公司境外上市或发行境外存托凭证新办登记(00017110700901)</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2.地（市）分局办理的境内公司境外上市或发行境外存托凭证变更登记(00017110700902)</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3.地（市）分局办理的境内公司境外上市或发行境外存托凭证注销登记(00017110700903)</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（1）《中华人民共和国外汇管理条例》第十七条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（1）《国家外汇管理局关于境外上市外汇管理有关问题的通知》（汇发〔2014〕54号）第二条、第三条、第十五条、第十八条</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（2）《存托凭证跨境资金管理办法（试行）》（中国人民银行 国家外汇管理局公告〔2019〕第8号）第六条</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（3）《国家外汇管理局行政许可实施办法》（国家外汇管理局公告2021年第1号）</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（1）《中华人民共和国外汇管理条例》</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国家外汇局</w:t>
      </w:r>
      <w:r>
        <w:rPr>
          <w:rFonts w:hint="eastAsia" w:ascii="方正仿宋_GBK" w:hAnsi="方正仿宋_GBK" w:eastAsia="方正仿宋_GBK" w:cs="方正仿宋_GBK"/>
          <w:sz w:val="28"/>
          <w:szCs w:val="28"/>
        </w:rPr>
        <w:t>地（市）分局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市级/隶属</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设区的市级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境内公司境外上市或发行境外存托凭证登记及变更、注销登记</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15.要素统一情况：</w:t>
      </w:r>
      <w:r>
        <w:rPr>
          <w:rFonts w:hint="eastAsia" w:ascii="方正仿宋_GBK" w:hAnsi="方正仿宋_GBK" w:eastAsia="方正仿宋_GBK" w:cs="方正仿宋_GBK"/>
          <w:sz w:val="28"/>
          <w:szCs w:val="28"/>
        </w:rPr>
        <w:t>全部要素全国统一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条件型</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1.准予行政许可的条件</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 xml:space="preserve"> 地（市）分局</w:t>
      </w:r>
      <w:r>
        <w:rPr>
          <w:rFonts w:ascii="方正仿宋_GBK" w:hAnsi="方正仿宋_GBK" w:eastAsia="方正仿宋_GBK" w:cs="方正仿宋_GBK"/>
          <w:sz w:val="28"/>
          <w:szCs w:val="28"/>
        </w:rPr>
        <w:t>办理的境内公司境外上市或发行境外存托凭证新办登记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（1）获得中国证监会关于境外上市的许可。</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（2）境外发行结束并完成公告。</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 xml:space="preserve"> 地（市）分局</w:t>
      </w:r>
      <w:r>
        <w:rPr>
          <w:rFonts w:ascii="方正仿宋_GBK" w:hAnsi="方正仿宋_GBK" w:eastAsia="方正仿宋_GBK" w:cs="方正仿宋_GBK"/>
          <w:sz w:val="28"/>
          <w:szCs w:val="28"/>
        </w:rPr>
        <w:t>办理的境内公司境外上市或发行境外存托凭证变更登记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境外上市公司名称、注册地址、主要股东信息等发生变更。</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 xml:space="preserve"> 地（市）分局</w:t>
      </w:r>
      <w:r>
        <w:rPr>
          <w:rFonts w:ascii="方正仿宋_GBK" w:hAnsi="方正仿宋_GBK" w:eastAsia="方正仿宋_GBK" w:cs="方正仿宋_GBK"/>
          <w:sz w:val="28"/>
          <w:szCs w:val="28"/>
        </w:rPr>
        <w:t>办理的境内公司境外上市或发行境外存托凭证新办登记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（1）获得主管部门批复。</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（2）从境外证券市场退市并完成退市公告。</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（3）相关账户和资金已妥善处置。</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关于境外上市外汇管理有关问题的通知》（汇发〔2014〕54号）第三条、第十五条、第十八条境内公司应在境外上市发行结束之日起15个工作日内，持下列材料到其注册所在地外汇局(以下简称所在地外汇局)办理境外上市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境内公司若发生如下变更情形，应在变更之日起15个工作日内......到所在地外汇局办理境外上市登记变更……。（一）境外上市公司名称、注册地址、主要股东信息等发生变更;（二）增发(含超额配售)股份或资本公积、盈余公积、未分配利润转增股本等资本变动;（三）回购境外股份;（四）将可转换债券转为股票（需提供外债登记变更或注销凭证）;（五）境内股东增持、减持、转让、受让境外股份计划实施完毕使得境外上市公司股权结构发生变化;（六）原登记的境外募集资金使用计划和用途发生变更;（七）其他登记有关内容的变更……。</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境内公司从境外证券市场退市的，应在退市之日起15个工作日内持主管部门相关批复复印件、退市公告等真实性证明材料及境外上市业务登记凭证、相关账户和资金处理情况说明到所在地外汇局办理境外上市登记注销......。</w:t>
      </w:r>
    </w:p>
    <w:p>
      <w:pPr>
        <w:widowControl w:val="0"/>
        <w:wordWrap/>
        <w:adjustRightInd/>
        <w:snapToGrid/>
        <w:spacing w:before="0" w:after="0" w:line="540" w:lineRule="exact"/>
        <w:ind w:left="0" w:leftChars="0" w:right="0" w:firstLine="562" w:firstLineChars="200"/>
        <w:textAlignment w:val="auto"/>
        <w:outlineLvl w:val="2"/>
        <w:rPr>
          <w:rFonts w:hint="eastAsia" w:ascii="仿宋" w:hAnsi="仿宋" w:eastAsia="仿宋" w:cs="仿宋"/>
          <w:b/>
          <w:bCs/>
          <w:color w:val="auto"/>
          <w:sz w:val="28"/>
          <w:szCs w:val="28"/>
        </w:rPr>
      </w:pPr>
      <w:r>
        <w:rPr>
          <w:rFonts w:hint="eastAsia" w:ascii="仿宋" w:hAnsi="仿宋" w:eastAsia="仿宋" w:cs="仿宋"/>
          <w:b/>
          <w:bCs/>
          <w:color w:val="auto"/>
          <w:sz w:val="28"/>
          <w:szCs w:val="28"/>
        </w:rPr>
        <w:t>3.受理条件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申请材料齐全、符合法定形式。</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ascii="方正仿宋_GBK" w:hAnsi="方正仿宋_GBK" w:eastAsia="方正仿宋_GBK" w:cs="方正仿宋_GBK"/>
          <w:sz w:val="28"/>
          <w:szCs w:val="28"/>
        </w:rPr>
        <w:t>企业法人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5.改革方式：</w:t>
      </w:r>
      <w:r>
        <w:rPr>
          <w:rFonts w:ascii="方正仿宋_GBK" w:hAnsi="方正仿宋_GBK" w:eastAsia="方正仿宋_GBK" w:cs="方正仿宋_GBK"/>
          <w:sz w:val="28"/>
          <w:szCs w:val="28"/>
        </w:rPr>
        <w:t>无</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6.具体改革举措</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无</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1.开展“双随机、一公开”监管，依法查处违规行为，适时公开相关案例。2.依法及时处理投诉举报。3.开展数据统计与监测，掌握外汇业务情况。</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1.申请材料名称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 地（市）分局办理的境内公司境外上市或发行境外存托凭证新办登记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（1）营业执照（统一社会信用代码证）原件或加盖公章的复印件1份。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（2）加盖公章的书面申请原件1份（附《境外上市登记表》）。</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（3）证监会同意境内公司境外上市的许可文件原件及加盖公章的复印件各1份（验原件，留存复印件）。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（4）境外发行结束的公告文件原件及加盖公章的复印件各1份（验原件，留存复印件）。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 地（市）分局办理的境内公司境外上市或发行境外存托凭证变更登记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（1）营业执照（统一社会信用代码证）原件或加盖公章的复印件1份。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（2）加盖公章的书面申请原件1份（附《境外上市登记表》）。</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主管部门关于变更事项的相关批复或备案文件（如有）原件及加盖公章的复印件各1份（验原件，留存复印件）。其中，涉及H股“全流通”的变更登记，需提供证监会批准参加H股“全流通”业务的许可文件原件及加盖公章的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（4）变更事项相关公告原件及加盖公章的复印件各1份（验原件，留存复印件）。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3. 地（市）分局办理的境内公司境外上市或发行境外存托凭证注销登记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（1）营业执照（统一社会信用代码证）原件或加盖公章的复印件1份。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（2）加盖公章的书面申请原件1份。</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（3）退市公告原件及加盖公章的复印件各1份（验原件，留存复印件）。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（4）主管部门关于注销事项的相关批复或备案文件原件及加盖公章的复印件各1份（验原件，留存复印件）。</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国家外汇管理局关于境外上市外汇管理有关问题的通知》（汇发〔2014〕54号）第三条、第十五条、第十八条境内公司应在境外上市发行结束之日起15个工作日内，持下列材料到其注册所在地外汇局（以下简称所在地外汇局）办理境外上市登记：（一）书面申请，并附《境外上市登记表》； （二）中国证监会许可境内公司境外上市的证明文件； （三）境外发行结束的公告文件； （四）前述材料内容不一致或不能说明交易真实性时，要求提供的补充材料。</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境内公司若发生如下变更情形，应在变更之日起15个工作日内持书面申请、最新填写的《境外上市登记表》及相关交易真实性证明材料，到所在地外汇局办理境外上市登记变更。需经主管部门审批或备案的变更事项，另需提供主管部门关于变更事项的批复或备案文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境内公司从境外证券市场退市的，应在退市之日起15个工作日内持主管部门相关批复复印件、退市公告等真实性证明材料及境外上市业务登记凭证、相关账户和资金处理情况说明到所在地外汇局办理境外上市登记注销......。</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（2）《国家外汇管理局行政许可实施办法》（国家外汇管理局公告2021年第1号）第八条……申请人为机构的，应出示统一社会信用代码证或营业执照原件，或加盖公章的上述证件复印件……。</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p>
    <w:p>
      <w:pPr>
        <w:spacing w:line="600" w:lineRule="exact"/>
        <w:ind w:firstLine="560" w:firstLineChars="200"/>
        <w:rPr>
          <w:rFonts w:ascii="Times New Roman" w:hAnsi="Times New Roman" w:eastAsia="仿宋GB2312"/>
          <w:sz w:val="28"/>
          <w:szCs w:val="28"/>
        </w:rPr>
      </w:pP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（1）申请人申请；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（2）审批机构受理/不予受理；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（3）审批机构审查；</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（4）决定作出许可决定书/不予许可决定书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2.规定行政许可程序的依据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（1）《国家外汇管理局行政许可实施办法》（国家外汇管理局公告2021年第1号）第十条外汇局收到行政许可申请后，应区分下列情况分别作出处理：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（一）申请事项属于本局职责范围，但依法不需要取得行政许可的，应即时告知申请人不受理，出具不予受理行政许可通知书；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（二）申请事项不属于本局职责范围，应即时作出不予受理的决定，出具不予受理行政许可通知书，并告知申请人向有关行政机关申请；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申请材料存在文字笔误等可当场更正的错误的，应允许申请人当场更正，并告知其在修改处签字或盖章确认；</w:t>
      </w:r>
    </w:p>
    <w:p>
      <w:pPr>
        <w:spacing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w:t>
      </w:r>
      <w:r>
        <w:rPr>
          <w:rFonts w:ascii="方正仿宋_GBK" w:hAnsi="方正仿宋_GBK" w:eastAsia="方正仿宋_GBK" w:cs="方正仿宋_GBK"/>
          <w:sz w:val="28"/>
          <w:szCs w:val="28"/>
        </w:rPr>
        <w:t>（四）申请事项属于本局职责范围，申请材料齐全、符合法定形式，或者申请人按照要求提交全部补正申请材料的，应受理行政许可申请，出具行政许可受理通知书。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（2）《国家外汇管理局行政许可实施办法》（国家外汇管理局公告2021年第1号）第十四条外汇局对行政许可申请审查后，应区分下列情况分别作出处理：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（二）申请不符合法定条件、拟不予行政许可的，应出具不予行政许可决定书，并说明不予行政许可的理由，告知申请人享有依法申请行政复议的权利。</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方正仿宋_GBK" w:hAnsi="方正仿宋_GBK" w:eastAsia="方正仿宋_GBK" w:cs="方正仿宋_GBK"/>
          <w:sz w:val="28"/>
          <w:szCs w:val="28"/>
        </w:rPr>
        <w:t>否</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方正仿宋_GBK" w:hAnsi="方正仿宋_GBK" w:eastAsia="方正仿宋_GBK" w:cs="方正仿宋_GBK"/>
          <w:sz w:val="28"/>
          <w:szCs w:val="28"/>
        </w:rPr>
        <w:t>5个工作日</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方正仿宋_GBK" w:hAnsi="方正仿宋_GBK" w:eastAsia="方正仿宋_GBK" w:cs="方正仿宋_GBK"/>
          <w:sz w:val="28"/>
          <w:szCs w:val="28"/>
        </w:rPr>
        <w:t>20个工作日</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（1）《国家外汇管理局行政许可实施办法》（国家外汇管理局公告2021年第1号）第十五条外汇局应根据以下要求确保行政许可依法按时完成：</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（一）能当场作出决定的，应当场作出行政许可决定。当场作出行政许可决定的，可不出具行政许可受理通知书；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外汇局征求其他部门意见的时间计算在以上办理时限内；依法需要听证、检验、检测、鉴定、专家评审等的时间，不计算在上述办理时限内。</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各级外汇局对行政许可办理时限具有对外承诺的，应按照其承诺的时限完成；对外承诺的时限应短于20个工作日。</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4.承诺审批时限：</w:t>
      </w:r>
      <w:r>
        <w:rPr>
          <w:rFonts w:ascii="方正仿宋_GBK" w:hAnsi="方正仿宋_GBK" w:eastAsia="方正仿宋_GBK" w:cs="方正仿宋_GBK"/>
          <w:sz w:val="28"/>
          <w:szCs w:val="28"/>
        </w:rPr>
        <w:t>20个工作日</w:t>
      </w:r>
    </w:p>
    <w:p>
      <w:pPr>
        <w:spacing w:line="600" w:lineRule="exact"/>
        <w:ind w:firstLine="562" w:firstLineChars="200"/>
        <w:rPr>
          <w:rFonts w:ascii="方正仿宋_GBK" w:hAnsi="方正仿宋_GBK" w:eastAsia="方正仿宋_GBK" w:cs="方正仿宋_GBK"/>
          <w:sz w:val="28"/>
          <w:szCs w:val="28"/>
        </w:rPr>
      </w:pPr>
      <w:r>
        <w:rPr>
          <w:rFonts w:hint="eastAsia" w:ascii="仿宋" w:hAnsi="仿宋" w:eastAsia="仿宋" w:cs="仿宋"/>
          <w:b/>
          <w:bCs/>
          <w:color w:val="auto"/>
          <w:sz w:val="28"/>
          <w:szCs w:val="28"/>
        </w:rPr>
        <w:t>5.办件类型：</w:t>
      </w:r>
      <w:r>
        <w:rPr>
          <w:rFonts w:hint="eastAsia" w:ascii="方正仿宋_GBK" w:hAnsi="方正仿宋_GBK" w:eastAsia="方正仿宋_GBK" w:cs="方正仿宋_GBK"/>
          <w:sz w:val="28"/>
          <w:szCs w:val="28"/>
        </w:rPr>
        <w:t>承诺件</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2.收费项目的名称、收费项目的标准、设定收费项目的依据、规定收费标准的依据</w:t>
      </w:r>
    </w:p>
    <w:p>
      <w:pPr>
        <w:spacing w:line="600" w:lineRule="exact"/>
        <w:ind w:firstLine="560" w:firstLineChars="200"/>
        <w:rPr>
          <w:rFonts w:ascii="方正仿宋_GBK" w:hAnsi="方正仿宋_GBK" w:eastAsia="方正仿宋_GBK" w:cs="方正仿宋_GBK"/>
          <w:b/>
          <w:bCs/>
          <w:color w:val="FF0000"/>
          <w:sz w:val="28"/>
          <w:szCs w:val="28"/>
        </w:rPr>
      </w:pP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方正仿宋_GBK" w:hAnsi="方正仿宋_GBK" w:eastAsia="方正仿宋_GBK" w:cs="方正仿宋_GBK"/>
          <w:sz w:val="28"/>
          <w:szCs w:val="28"/>
        </w:rPr>
        <w:t>批文</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方正仿宋_GBK" w:hAnsi="方正仿宋_GBK" w:eastAsia="方正仿宋_GBK" w:cs="方正仿宋_GBK"/>
          <w:sz w:val="28"/>
          <w:szCs w:val="28"/>
        </w:rPr>
        <w:t>《业务登记凭证》</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方正仿宋_GBK" w:hAnsi="方正仿宋_GBK" w:eastAsia="方正仿宋_GBK" w:cs="方正仿宋_GBK"/>
          <w:sz w:val="28"/>
          <w:szCs w:val="28"/>
        </w:rPr>
        <w:t>当次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4.规定审批结果有效期限的依据</w:t>
      </w:r>
    </w:p>
    <w:p>
      <w:pPr>
        <w:spacing w:line="600" w:lineRule="exact"/>
        <w:ind w:firstLine="560" w:firstLineChars="200"/>
        <w:rPr>
          <w:rFonts w:ascii="Times New Roman" w:hAnsi="Times New Roman" w:eastAsia="仿宋GB2312"/>
          <w:sz w:val="32"/>
          <w:szCs w:val="32"/>
        </w:rPr>
      </w:pPr>
      <w:r>
        <w:rPr>
          <w:rFonts w:hint="eastAsia" w:ascii="方正仿宋_GBK" w:hAnsi="方正仿宋_GBK" w:eastAsia="方正仿宋_GBK" w:cs="方正仿宋_GBK"/>
          <w:sz w:val="28"/>
          <w:szCs w:val="28"/>
        </w:rPr>
        <w:t>（1）无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6.办理审批结果变更手续的要求</w:t>
      </w:r>
    </w:p>
    <w:p>
      <w:pPr>
        <w:spacing w:line="600" w:lineRule="exact"/>
        <w:ind w:firstLine="560" w:firstLineChars="200"/>
        <w:rPr>
          <w:rFonts w:ascii="Times New Roman" w:hAnsi="Times New Roman" w:eastAsia="仿宋GB2312"/>
          <w:sz w:val="32"/>
          <w:szCs w:val="32"/>
        </w:rPr>
      </w:pP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8.办理审批结果延续手续的要求</w:t>
      </w:r>
    </w:p>
    <w:p>
      <w:pPr>
        <w:spacing w:line="600" w:lineRule="exact"/>
        <w:ind w:firstLine="560" w:firstLineChars="200"/>
        <w:rPr>
          <w:rFonts w:ascii="Times New Roman" w:hAnsi="Times New Roman" w:eastAsia="仿宋GB2312"/>
          <w:sz w:val="32"/>
          <w:szCs w:val="32"/>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9.审批结果的有效地域范围</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全国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10.规定审批结果有效地域范围的依据</w:t>
      </w:r>
    </w:p>
    <w:p>
      <w:pPr>
        <w:spacing w:line="600" w:lineRule="exact"/>
        <w:ind w:firstLine="560" w:firstLineChars="200"/>
        <w:rPr>
          <w:rFonts w:ascii="Times New Roman" w:hAnsi="Times New Roman" w:eastAsia="仿宋GB2312"/>
          <w:sz w:val="28"/>
          <w:szCs w:val="28"/>
        </w:rPr>
      </w:pPr>
      <w:r>
        <w:rPr>
          <w:rFonts w:hint="eastAsia" w:ascii="方正仿宋_GBK" w:hAnsi="方正仿宋_GBK" w:eastAsia="方正仿宋_GBK" w:cs="方正仿宋_GBK"/>
          <w:sz w:val="28"/>
          <w:szCs w:val="28"/>
        </w:rPr>
        <w:t>（1）无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方正仿宋_GBK" w:hAnsi="方正仿宋_GBK" w:eastAsia="方正仿宋_GBK" w:cs="方正仿宋_GBK"/>
          <w:sz w:val="28"/>
          <w:szCs w:val="28"/>
        </w:rPr>
        <w:t>无</w:t>
      </w:r>
    </w:p>
    <w:p>
      <w:pPr>
        <w:spacing w:line="600" w:lineRule="exact"/>
        <w:ind w:firstLine="562" w:firstLineChars="200"/>
        <w:jc w:val="left"/>
        <w:rPr>
          <w:rFonts w:ascii="Times New Roman" w:hAnsi="Times New Roman" w:eastAsia="仿宋GB2312"/>
          <w:b/>
          <w:bCs/>
          <w:sz w:val="28"/>
          <w:szCs w:val="28"/>
        </w:rPr>
      </w:pPr>
      <w:r>
        <w:rPr>
          <w:rFonts w:hint="eastAsia" w:ascii="Times New Roman" w:hAnsi="Times New Roman" w:eastAsia="仿宋GB2312"/>
          <w:b/>
          <w:bCs/>
          <w:sz w:val="28"/>
          <w:szCs w:val="28"/>
        </w:rPr>
        <w:t>5.规定在数量限制条件下实施行政许可方式的依据</w:t>
      </w:r>
    </w:p>
    <w:p>
      <w:pPr>
        <w:spacing w:line="600" w:lineRule="exact"/>
        <w:ind w:firstLine="560" w:firstLineChars="200"/>
        <w:jc w:val="left"/>
        <w:rPr>
          <w:rFonts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2.设定年检要求的依据</w:t>
      </w:r>
    </w:p>
    <w:p>
      <w:pPr>
        <w:spacing w:line="540" w:lineRule="exact"/>
        <w:ind w:firstLine="560" w:firstLineChars="200"/>
        <w:outlineLvl w:val="2"/>
        <w:rPr>
          <w:rFonts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p>
    <w:p>
      <w:pPr>
        <w:spacing w:line="600" w:lineRule="exact"/>
        <w:ind w:firstLine="560" w:firstLineChars="200"/>
        <w:rPr>
          <w:rFonts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国家外汇局及其分局</w:t>
      </w:r>
    </w:p>
    <w:p>
      <w:pPr>
        <w:widowControl w:val="0"/>
        <w:wordWrap/>
        <w:adjustRightInd/>
        <w:snapToGrid/>
        <w:spacing w:before="0" w:after="0" w:line="540" w:lineRule="exact"/>
        <w:ind w:left="0" w:leftChars="0" w:right="0" w:firstLine="0" w:firstLineChars="0"/>
        <w:textAlignment w:val="auto"/>
        <w:outlineLvl w:val="1"/>
        <w:rPr>
          <w:rFonts w:hint="eastAsia" w:ascii="黑体" w:hAnsi="黑体" w:eastAsia="黑体" w:cs="黑体"/>
          <w:b/>
          <w:bCs/>
          <w:color w:val="auto"/>
          <w:sz w:val="28"/>
          <w:szCs w:val="28"/>
        </w:rPr>
      </w:pPr>
      <w:r>
        <w:rPr>
          <w:rFonts w:hint="eastAsia" w:ascii="黑体" w:hAnsi="黑体" w:eastAsia="黑体" w:cs="黑体"/>
          <w:b w:val="0"/>
          <w:bCs w:val="0"/>
          <w:color w:val="auto"/>
          <w:sz w:val="28"/>
          <w:szCs w:val="28"/>
        </w:rPr>
        <w:t>十五、业务办理信息</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1.是否通办：</w:t>
      </w:r>
      <w:r>
        <w:rPr>
          <w:rFonts w:hint="eastAsia" w:ascii="方正仿宋_GBK" w:hAnsi="方正仿宋_GBK" w:eastAsia="方正仿宋_GBK" w:cs="方正仿宋_GBK"/>
          <w:sz w:val="28"/>
          <w:szCs w:val="28"/>
        </w:rPr>
        <w:t>否</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2.通办业务模式：</w:t>
      </w:r>
      <w:r>
        <w:rPr>
          <w:rFonts w:hint="eastAsia" w:ascii="方正仿宋_GBK" w:hAnsi="方正仿宋_GBK" w:eastAsia="方正仿宋_GBK" w:cs="方正仿宋_GBK"/>
          <w:sz w:val="28"/>
          <w:szCs w:val="28"/>
        </w:rPr>
        <w:t>无</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3.跨省通办事项名称：</w:t>
      </w:r>
      <w:r>
        <w:rPr>
          <w:rFonts w:hint="eastAsia" w:ascii="方正仿宋_GBK" w:hAnsi="方正仿宋_GBK" w:eastAsia="方正仿宋_GBK" w:cs="方正仿宋_GBK"/>
          <w:sz w:val="28"/>
          <w:szCs w:val="28"/>
        </w:rPr>
        <w:t>无</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rPr>
        <w:t>4.是否是35号文中的跨省通办事项：</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b w:val="0"/>
          <w:bCs w:val="0"/>
          <w:color w:val="auto"/>
          <w:sz w:val="28"/>
          <w:szCs w:val="28"/>
        </w:rPr>
      </w:pPr>
      <w:r>
        <w:rPr>
          <w:rFonts w:hint="eastAsia" w:ascii="仿宋" w:hAnsi="仿宋" w:eastAsia="仿宋" w:cs="仿宋"/>
          <w:b/>
          <w:bCs/>
          <w:color w:val="auto"/>
          <w:sz w:val="28"/>
          <w:szCs w:val="28"/>
        </w:rPr>
        <w:t>5.是否网办：</w:t>
      </w:r>
      <w:r>
        <w:rPr>
          <w:rFonts w:hint="eastAsia" w:ascii="方正仿宋_GBK" w:hAnsi="方正仿宋_GBK" w:eastAsia="方正仿宋_GBK" w:cs="方正仿宋_GBK"/>
          <w:sz w:val="28"/>
          <w:szCs w:val="28"/>
          <w:lang w:val="en-US" w:eastAsia="zh-CN"/>
        </w:rPr>
        <w:t>是</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6.网上办理深度：</w:t>
      </w:r>
      <w:r>
        <w:rPr>
          <w:rFonts w:hint="eastAsia" w:ascii="方正仿宋_GBK" w:hAnsi="方正仿宋_GBK" w:eastAsia="方正仿宋_GBK" w:cs="方正仿宋_GBK"/>
          <w:sz w:val="28"/>
          <w:szCs w:val="28"/>
          <w:lang w:val="en-US" w:eastAsia="zh-CN"/>
        </w:rPr>
        <w:t>互联网办理</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7.到办事现场次数：</w:t>
      </w:r>
      <w:r>
        <w:rPr>
          <w:rFonts w:hint="eastAsia" w:ascii="方正仿宋_GBK" w:hAnsi="方正仿宋_GBK" w:eastAsia="方正仿宋_GBK" w:cs="方正仿宋_GBK"/>
          <w:sz w:val="28"/>
          <w:szCs w:val="28"/>
          <w:lang w:val="en-US" w:eastAsia="zh-CN"/>
        </w:rPr>
        <w:t>0</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8.必须现场办理原因说明：</w:t>
      </w:r>
      <w:r>
        <w:rPr>
          <w:rFonts w:hint="eastAsia" w:ascii="方正仿宋_GBK" w:hAnsi="方正仿宋_GBK" w:eastAsia="方正仿宋_GBK" w:cs="方正仿宋_GBK"/>
          <w:sz w:val="28"/>
          <w:szCs w:val="28"/>
          <w:lang w:val="en-US" w:eastAsia="zh-CN"/>
        </w:rPr>
        <w:t>无</w:t>
      </w:r>
    </w:p>
    <w:p>
      <w:pPr>
        <w:widowControl w:val="0"/>
        <w:wordWrap/>
        <w:adjustRightInd/>
        <w:snapToGrid/>
        <w:spacing w:before="0" w:after="0" w:line="540" w:lineRule="exact"/>
        <w:ind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9.是否进驻政务大厅：</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rPr>
        <w:t>10.办理地点：</w:t>
      </w:r>
      <w:r>
        <w:rPr>
          <w:rFonts w:hint="eastAsia" w:ascii="方正仿宋_GBK" w:hAnsi="方正仿宋_GBK" w:eastAsia="方正仿宋_GBK" w:cs="方正仿宋_GBK"/>
          <w:sz w:val="28"/>
          <w:szCs w:val="28"/>
          <w:lang w:val="en-US" w:eastAsia="zh-CN"/>
        </w:rPr>
        <w:t>详见国家外汇管理局吉林省分局子网站（www.safe.gov.cn/jilin/）“咨询反馈——联系我们”</w:t>
      </w:r>
    </w:p>
    <w:p>
      <w:pPr>
        <w:widowControl w:val="0"/>
        <w:wordWrap/>
        <w:adjustRightInd/>
        <w:snapToGrid/>
        <w:spacing w:before="0" w:after="0" w:line="540" w:lineRule="exact"/>
        <w:ind w:left="0" w:leftChars="0" w:right="0" w:firstLine="560"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11.办理时间：</w:t>
      </w:r>
      <w:r>
        <w:rPr>
          <w:rFonts w:hint="eastAsia" w:ascii="方正仿宋_GBK" w:hAnsi="方正仿宋_GBK" w:eastAsia="方正仿宋_GBK" w:cs="方正仿宋_GBK"/>
          <w:sz w:val="28"/>
          <w:szCs w:val="28"/>
          <w:lang w:val="en-US" w:eastAsia="zh-CN"/>
        </w:rPr>
        <w:t>详见国家外汇管理局吉林省分局子网站（www.safe.gov.cn/jilin/）“咨询反馈——联系我们”</w:t>
      </w:r>
    </w:p>
    <w:p>
      <w:pPr>
        <w:widowControl w:val="0"/>
        <w:wordWrap/>
        <w:adjustRightInd/>
        <w:snapToGrid/>
        <w:spacing w:before="0" w:after="0" w:line="540" w:lineRule="exact"/>
        <w:ind w:left="0" w:leftChars="0" w:right="0" w:firstLine="560"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12.咨询方式：</w:t>
      </w:r>
      <w:r>
        <w:rPr>
          <w:rFonts w:hint="eastAsia" w:ascii="方正仿宋_GBK" w:hAnsi="方正仿宋_GBK" w:eastAsia="方正仿宋_GBK" w:cs="方正仿宋_GBK"/>
          <w:sz w:val="28"/>
          <w:szCs w:val="28"/>
          <w:lang w:val="en-US" w:eastAsia="zh-CN"/>
        </w:rPr>
        <w:t>详见国家外汇管理局吉林省分局子网站（www.safe.gov.cn/jilin/）“咨询反馈——联系我们”</w:t>
      </w:r>
    </w:p>
    <w:p>
      <w:pPr>
        <w:widowControl w:val="0"/>
        <w:wordWrap/>
        <w:adjustRightInd/>
        <w:snapToGrid/>
        <w:spacing w:before="0" w:after="0" w:line="540" w:lineRule="exact"/>
        <w:ind w:left="0" w:leftChars="0" w:right="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rPr>
        <w:t>13.监督投诉方式：</w:t>
      </w:r>
      <w:r>
        <w:rPr>
          <w:rFonts w:hint="eastAsia" w:ascii="方正仿宋_GBK" w:hAnsi="方正仿宋_GBK" w:eastAsia="方正仿宋_GBK" w:cs="方正仿宋_GBK"/>
          <w:sz w:val="28"/>
          <w:szCs w:val="28"/>
          <w:lang w:val="en-US" w:eastAsia="zh-CN"/>
        </w:rPr>
        <w:t>详见国家外汇管理局吉林省分局子网站（www.safe.gov.cn/jilin/）“咨询反馈——联系我们”</w:t>
      </w:r>
    </w:p>
    <w:p>
      <w:pPr>
        <w:widowControl w:val="0"/>
        <w:wordWrap/>
        <w:adjustRightInd/>
        <w:snapToGrid/>
        <w:spacing w:before="0" w:after="0" w:line="540" w:lineRule="exact"/>
        <w:ind w:left="0" w:leftChars="0" w:right="0" w:firstLine="560"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14.是否支持网上支付：</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15.是否支持物流快递：</w:t>
      </w:r>
      <w:r>
        <w:rPr>
          <w:rFonts w:hint="eastAsia" w:ascii="方正仿宋_GBK" w:hAnsi="方正仿宋_GBK" w:eastAsia="方正仿宋_GBK" w:cs="方正仿宋_GBK"/>
          <w:sz w:val="28"/>
          <w:szCs w:val="28"/>
          <w:lang w:val="en-US" w:eastAsia="zh-CN"/>
        </w:rPr>
        <w:t>否</w:t>
      </w:r>
    </w:p>
    <w:p>
      <w:pPr>
        <w:spacing w:line="540" w:lineRule="exact"/>
        <w:outlineLvl w:val="1"/>
        <w:rPr>
          <w:rFonts w:ascii="Times New Roman" w:hAnsi="Times New Roman" w:eastAsia="黑体"/>
          <w:sz w:val="28"/>
          <w:szCs w:val="28"/>
        </w:rPr>
      </w:pPr>
    </w:p>
    <w:p>
      <w:bookmarkStart w:id="0" w:name="_GoBack"/>
      <w:bookmarkEnd w:id="0"/>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_GBK">
    <w:altName w:val="微软雅黑"/>
    <w:panose1 w:val="02000000000000000000"/>
    <w:charset w:val="86"/>
    <w:family w:val="auto"/>
    <w:pitch w:val="default"/>
    <w:sig w:usb0="00000001" w:usb1="080E0000" w:usb2="00000000" w:usb3="00000000" w:csb0="00040000" w:csb1="00000000"/>
  </w:font>
  <w:font w:name="仿宋GB2312">
    <w:altName w:val="仿宋"/>
    <w:panose1 w:val="00000000000000000000"/>
    <w:charset w:val="86"/>
    <w:family w:val="auto"/>
    <w:pitch w:val="default"/>
    <w:sig w:usb0="00000000" w:usb1="00000000" w:usb2="00000000" w:usb3="00000000" w:csb0="00040001" w:csb1="00000000"/>
  </w:font>
  <w:font w:name="方正仿宋_GBK">
    <w:altName w:val="微软雅黑"/>
    <w:panose1 w:val="02000000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黑体_GBK">
    <w:altName w:val="黑体"/>
    <w:panose1 w:val="02000000000000000000"/>
    <w:charset w:val="86"/>
    <w:family w:val="auto"/>
    <w:pitch w:val="default"/>
    <w:sig w:usb0="00000001" w:usb1="08000000" w:usb2="00000000" w:usb3="00000000" w:csb0="00040000" w:csb1="00000000"/>
  </w:font>
  <w:font w:name="思源黑体 CN Bold">
    <w:altName w:val="黑体"/>
    <w:panose1 w:val="020B0800000000000000"/>
    <w:charset w:val="86"/>
    <w:family w:val="auto"/>
    <w:pitch w:val="default"/>
    <w:sig w:usb0="00000000" w:usb1="00000000" w:usb2="00000016" w:usb3="00000000" w:csb0="60060107" w:csb1="00000000"/>
  </w:font>
  <w:font w:name="仿宋_GB2312">
    <w:altName w:val="仿宋"/>
    <w:panose1 w:val="02010609030101010101"/>
    <w:charset w:val="86"/>
    <w:family w:val="auto"/>
    <w:pitch w:val="default"/>
    <w:sig w:usb0="00000001" w:usb1="080E0000" w:usb2="00000000" w:usb3="00000000" w:csb0="00040000" w:csb1="00000000"/>
  </w:font>
  <w:font w:name="方正楷体_GBK">
    <w:altName w:val="宋体"/>
    <w:panose1 w:val="02000000000000000000"/>
    <w:charset w:val="86"/>
    <w:family w:val="auto"/>
    <w:pitch w:val="default"/>
    <w:sig w:usb0="00000001" w:usb1="08000000" w:usb2="00000000" w:usb3="00000000" w:csb0="00040000" w:csb1="00000000"/>
  </w:font>
  <w:font w:name="方正隶书_GBK">
    <w:altName w:val="宋体"/>
    <w:panose1 w:val="02000000000000000000"/>
    <w:charset w:val="86"/>
    <w:family w:val="auto"/>
    <w:pitch w:val="default"/>
    <w:sig w:usb0="00000001" w:usb1="08000000" w:usb2="00000000" w:usb3="00000000" w:csb0="00040000" w:csb1="00000000"/>
  </w:font>
  <w:font w:name="汉仪书宋二S">
    <w:altName w:val="宋体"/>
    <w:panose1 w:val="00000000000000000000"/>
    <w:charset w:val="00"/>
    <w:family w:val="auto"/>
    <w:pitch w:val="default"/>
    <w:sig w:usb0="00000000" w:usb1="00000000" w:usb2="00000000" w:usb3="00000000" w:csb0="00040001" w:csb1="00000000"/>
  </w:font>
  <w:font w:name="汉仪中秀体简">
    <w:altName w:val="仿宋"/>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A00002BF" w:usb1="38CF7CFA" w:usb2="00000016" w:usb3="00000000" w:csb0="0004000F" w:csb1="00000000"/>
  </w:font>
  <w:font w:name="MS UI Gothic">
    <w:panose1 w:val="020B0600070205080204"/>
    <w:charset w:val="80"/>
    <w:family w:val="auto"/>
    <w:pitch w:val="default"/>
    <w:sig w:usb0="E00002FF" w:usb1="6AC7FDFB" w:usb2="00000012" w:usb3="00000000" w:csb0="4002009F" w:csb1="DFD7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semiHidden/>
    <w:unhideWhenUsed/>
    <w:uiPriority w:val="99"/>
    <w:pPr>
      <w:tabs>
        <w:tab w:val="center" w:pos="4153"/>
        <w:tab w:val="right" w:pos="8306"/>
      </w:tabs>
      <w:snapToGrid w:val="0"/>
      <w:jc w:val="left"/>
    </w:pPr>
    <w:rPr>
      <w:sz w:val="18"/>
      <w:szCs w:val="18"/>
    </w:rPr>
  </w:style>
  <w:style w:type="paragraph" w:styleId="3">
    <w:name w:val="header"/>
    <w:basedOn w:val="1"/>
    <w:link w:val="5"/>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Char"/>
    <w:basedOn w:val="4"/>
    <w:link w:val="3"/>
    <w:uiPriority w:val="99"/>
    <w:rPr>
      <w:rFonts w:ascii="Calibri" w:hAnsi="Calibri" w:eastAsia="宋体" w:cs="Times New Roman"/>
      <w:sz w:val="18"/>
      <w:szCs w:val="18"/>
    </w:rPr>
  </w:style>
  <w:style w:type="character" w:customStyle="1" w:styleId="6">
    <w:name w:val="页脚 Char Char"/>
    <w:basedOn w:val="4"/>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724</Words>
  <Characters>4133</Characters>
  <Lines>34</Lines>
  <Paragraphs>9</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2023-12-08T05:58:00Z</dcterms:created>
  <dc:creator>kylin</dc:creator>
  <cp:lastModifiedBy>wangxm</cp:lastModifiedBy>
  <dcterms:modified xsi:type="dcterms:W3CDTF">2024-03-26T08:56:18Z</dcterms:modified>
  <dc:title>地（市）分局办理的境内公司境外上市或发行境外存托凭证登记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