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60" o:spid="_x0000_s1026" type="#_x0000_t75" style="height:69.8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6"/>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四、内保外贷登记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申请人所在地外汇局。境内担保人为个人的，由个人户籍所在地外汇局办理。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申请人所在地或个人户籍所在地外汇局。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担保人为非银行金融机构或企业（以下简称非银行机构）的，应在签订担保合同后15个工作日内办理内保外贷签约登记手续。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担保合同主要条款发生变更的，应当在15个工作日内办理内保外贷签约变更登记手续。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满足条件的非银行机构应在每月结束后3个工作日内通过逐笔填报《非银行机构内保外贷集中登记逐笔月报表》向所在地外汇局集中办理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非银行金融机构作为担保人提供内保外贷，按照行业主管部门规定，应具有相应担保业务经营资格。符合条件的境内个人可作为</w:t>
      </w:r>
      <w:r>
        <w:rPr>
          <w:rFonts w:hint="eastAsia" w:ascii="Times New Roman" w:hAnsi="Times New Roman" w:eastAsia="仿宋_GB2312" w:cs="Times New Roman"/>
          <w:sz w:val="30"/>
          <w:szCs w:val="30"/>
        </w:rPr>
        <w:t>共同</w:t>
      </w:r>
      <w:r>
        <w:rPr>
          <w:rFonts w:ascii="Times New Roman" w:hAnsi="Times New Roman" w:eastAsia="仿宋_GB2312" w:cs="Times New Roman"/>
          <w:sz w:val="30"/>
          <w:szCs w:val="30"/>
        </w:rPr>
        <w:t>担保人并参照非金融机构办理内保外贷业务。</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企业内保外贷责任已解除且未发生内保外贷履约的情况下，可到所属分局辖内银行直接办理内保外贷注销登记。不符合相应条件的，由担保人注册所在地或户籍所在地外汇局办理。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w:t>
      </w: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543"/>
        <w:gridCol w:w="1276"/>
        <w:gridCol w:w="567"/>
        <w:gridCol w:w="851"/>
        <w:gridCol w:w="708"/>
        <w:gridCol w:w="1043"/>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125" w:hRule="atLeast"/>
        </w:trPr>
        <w:tc>
          <w:tcPr>
            <w:tcW w:w="534" w:type="dxa"/>
            <w:vAlign w:val="center"/>
          </w:tcPr>
          <w:p>
            <w:pPr>
              <w:jc w:val="center"/>
              <w:rPr>
                <w:rFonts w:ascii="Times New Roman" w:hAnsi="Times New Roman" w:eastAsia="仿宋_GB2312" w:cs="Times New Roman"/>
                <w:sz w:val="24"/>
                <w:szCs w:val="24"/>
              </w:rPr>
            </w:pPr>
            <w:bookmarkStart w:id="0" w:name="OLE_LINK3"/>
            <w:bookmarkStart w:id="1" w:name="OLE_LINK4"/>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1559"/>
        <w:gridCol w:w="992"/>
        <w:gridCol w:w="851"/>
        <w:gridCol w:w="708"/>
        <w:gridCol w:w="1043"/>
      </w:tblGrid>
      <w:tr>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w:t>
      </w:r>
      <w:bookmarkStart w:id="2" w:name="_GoBack"/>
      <w:r>
        <w:rPr>
          <w:rFonts w:ascii="Times New Roman" w:hAnsi="Times New Roman" w:eastAsia="仿宋_GB2312" w:cs="Times New Roman"/>
          <w:sz w:val="30"/>
          <w:szCs w:val="30"/>
        </w:rPr>
        <w:t>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sz w:val="30"/>
          <w:szCs w:val="30"/>
        </w:rPr>
      </w:pPr>
      <w:r>
        <w:rPr>
          <w:rFonts w:ascii="Times New Roman" w:hAnsi="Times New Roman" w:eastAsia="黑体" w:cs="Times New Roman"/>
          <w:sz w:val="30"/>
        </w:rPr>
        <w:t>（</w:t>
      </w:r>
      <w:r>
        <w:rPr>
          <w:rFonts w:ascii="Times New Roman" w:hAnsi="Times New Roman" w:eastAsia="黑体" w:cs="Times New Roman"/>
          <w:sz w:val="30"/>
          <w:szCs w:val="30"/>
        </w:rPr>
        <w:t>十五）咨询途径、监督和投诉</w:t>
      </w:r>
    </w:p>
    <w:p>
      <w:pPr>
        <w:ind w:firstLine="600"/>
        <w:rPr>
          <w:rFonts w:eastAsia="仿宋_GB2312"/>
          <w:sz w:val="30"/>
          <w:szCs w:val="30"/>
        </w:rPr>
      </w:pPr>
      <w:r>
        <w:rPr>
          <w:rFonts w:eastAsia="仿宋_GB2312"/>
          <w:sz w:val="30"/>
          <w:szCs w:val="30"/>
        </w:rPr>
        <w:t>向国家外汇管理局咨询、监督投诉等可通过国家外汇管理局官方互联网站公众交流栏目进行</w:t>
      </w:r>
      <w:r>
        <w:rPr>
          <w:rFonts w:hint="eastAsia" w:eastAsia="仿宋_GB2312"/>
          <w:sz w:val="30"/>
          <w:szCs w:val="30"/>
        </w:rPr>
        <w:t>，</w:t>
      </w:r>
      <w:r>
        <w:rPr>
          <w:rFonts w:eastAsia="仿宋_GB2312"/>
          <w:sz w:val="30"/>
          <w:szCs w:val="30"/>
        </w:rPr>
        <w:t>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ind w:firstLine="600"/>
        <w:rPr>
          <w:rFonts w:eastAsia="仿宋_GB2312"/>
          <w:sz w:val="30"/>
          <w:szCs w:val="30"/>
        </w:rPr>
      </w:pPr>
      <w:r>
        <w:rPr>
          <w:rFonts w:eastAsia="仿宋_GB2312"/>
          <w:sz w:val="30"/>
          <w:szCs w:val="30"/>
        </w:rPr>
        <w:t>向外汇局</w:t>
      </w:r>
      <w:r>
        <w:rPr>
          <w:rFonts w:hint="eastAsia" w:eastAsia="仿宋_GB2312"/>
          <w:sz w:val="30"/>
          <w:szCs w:val="30"/>
        </w:rPr>
        <w:t>吉林省分局及</w:t>
      </w:r>
      <w:r>
        <w:rPr>
          <w:rFonts w:hint="eastAsia" w:eastAsia="仿宋_GB2312"/>
          <w:sz w:val="30"/>
          <w:szCs w:val="30"/>
          <w:lang w:eastAsia="zh-CN"/>
        </w:rPr>
        <w:t>分支机构</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4"/>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bookmarkEnd w:id="2"/>
    <w:p>
      <w:pPr>
        <w:ind w:firstLine="600"/>
        <w:rPr>
          <w:rFonts w:eastAsia="仿宋_GB2312"/>
          <w:b/>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ind w:firstLine="600" w:firstLineChars="200"/>
        <w:rPr>
          <w:rFonts w:ascii="Times New Roman" w:hAnsi="Times New Roman" w:eastAsia="仿宋_GB2312" w:cs="Times New Roman"/>
          <w:sz w:val="30"/>
          <w:szCs w:val="30"/>
        </w:rPr>
      </w:pPr>
      <w:r>
        <w:rPr>
          <w:rFonts w:eastAsia="仿宋_GB2312"/>
          <w:sz w:val="30"/>
          <w:szCs w:val="30"/>
        </w:rPr>
        <w:t>该项行政许可具体由国家外汇管理局</w:t>
      </w:r>
      <w:r>
        <w:rPr>
          <w:rFonts w:hint="eastAsia" w:eastAsia="仿宋_GB2312"/>
          <w:sz w:val="30"/>
          <w:szCs w:val="30"/>
          <w:lang w:eastAsia="zh-CN"/>
        </w:rPr>
        <w:t>吉林省分局及分支机构</w:t>
      </w:r>
      <w:r>
        <w:rPr>
          <w:rFonts w:eastAsia="仿宋_GB2312"/>
          <w:sz w:val="30"/>
          <w:szCs w:val="30"/>
        </w:rPr>
        <w:t>办理，</w:t>
      </w:r>
      <w:r>
        <w:rPr>
          <w:rFonts w:hint="eastAsia" w:eastAsia="仿宋_GB2312"/>
          <w:sz w:val="30"/>
          <w:szCs w:val="30"/>
        </w:rPr>
        <w:t>国家外汇管理局吉林省</w:t>
      </w:r>
      <w:r>
        <w:rPr>
          <w:rFonts w:hint="eastAsia" w:eastAsia="仿宋_GB2312"/>
          <w:sz w:val="30"/>
          <w:szCs w:val="30"/>
          <w:lang w:eastAsia="zh-CN"/>
        </w:rPr>
        <w:t>分支机构</w:t>
      </w:r>
      <w:r>
        <w:rPr>
          <w:rFonts w:hint="eastAsia" w:eastAsia="仿宋_GB2312"/>
          <w:sz w:val="30"/>
          <w:szCs w:val="30"/>
        </w:rPr>
        <w:t>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p>
    <w:p>
      <w:pPr>
        <w:ind w:firstLine="600" w:firstLineChars="200"/>
        <w:rPr>
          <w:rFonts w:eastAsia="仿宋_GB2312"/>
          <w:sz w:val="30"/>
          <w:szCs w:val="30"/>
        </w:rPr>
      </w:pPr>
    </w:p>
    <w:p>
      <w:pPr>
        <w:ind w:firstLine="600" w:firstLineChars="200"/>
        <w:rPr>
          <w:rFonts w:eastAsia="仿宋_GB2312"/>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bookmarkEnd w:id="0"/>
      <w:bookmarkEnd w:id="1"/>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答：非银行机构应在还清担保项下债务、担保人付款责任到期或发生担保履约后15个工作日内申请注销相关登记。</w:t>
      </w:r>
    </w:p>
    <w:sectPr>
      <w:headerReference r:id="rId4" w:type="default"/>
      <w:footerReference r:id="rId6" w:type="default"/>
      <w:headerReference r:id="rId5" w:type="even"/>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5"/>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qFormat/>
    <w:uiPriority w:val="0"/>
    <w:rPr>
      <w:rFonts w:ascii="宋体"/>
      <w:sz w:val="18"/>
      <w:szCs w:val="18"/>
    </w:rPr>
  </w:style>
  <w:style w:type="paragraph" w:styleId="6">
    <w:name w:val="annotation text"/>
    <w:basedOn w:val="1"/>
    <w:link w:val="31"/>
    <w:unhideWhenUsed/>
    <w:qFormat/>
    <w:uiPriority w:val="99"/>
    <w:pPr>
      <w:jc w:val="left"/>
    </w:pPr>
    <w:rPr>
      <w:rFonts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列出段落1"/>
    <w:basedOn w:val="1"/>
    <w:qFormat/>
    <w:uiPriority w:val="34"/>
    <w:pPr>
      <w:ind w:firstLine="420" w:firstLineChars="200"/>
    </w:pPr>
    <w:rPr>
      <w:rFonts w:cs="Times New Roman"/>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列出段落4"/>
    <w:basedOn w:val="1"/>
    <w:qFormat/>
    <w:uiPriority w:val="0"/>
    <w:pPr>
      <w:ind w:firstLine="200" w:firstLineChars="200"/>
    </w:pPr>
    <w:rPr>
      <w:rFonts w:cs="Times New Roman"/>
    </w:rPr>
  </w:style>
  <w:style w:type="paragraph" w:customStyle="1" w:styleId="20">
    <w:name w:val="列出段落3"/>
    <w:basedOn w:val="1"/>
    <w:qFormat/>
    <w:uiPriority w:val="0"/>
    <w:pPr>
      <w:ind w:firstLine="420" w:firstLineChars="200"/>
    </w:pPr>
    <w:rPr>
      <w:rFonts w:ascii="Times New Roman" w:hAnsi="Times New Roman" w:cs="Times New Roman"/>
      <w:szCs w:val="24"/>
    </w:rPr>
  </w:style>
  <w:style w:type="paragraph" w:customStyle="1" w:styleId="21">
    <w:name w:val="p0"/>
    <w:basedOn w:val="1"/>
    <w:qFormat/>
    <w:uiPriority w:val="0"/>
    <w:pPr>
      <w:widowControl/>
    </w:pPr>
    <w:rPr>
      <w:rFonts w:cs="宋体"/>
      <w:kern w:val="0"/>
      <w:szCs w:val="21"/>
    </w:rPr>
  </w:style>
  <w:style w:type="paragraph" w:customStyle="1" w:styleId="22">
    <w:name w:val="修订1"/>
    <w:hidden/>
    <w:semiHidden/>
    <w:qFormat/>
    <w:uiPriority w:val="99"/>
    <w:rPr>
      <w:rFonts w:ascii="Calibri" w:hAnsi="Calibri" w:cs="黑体"/>
      <w:kern w:val="2"/>
      <w:sz w:val="21"/>
      <w:szCs w:val="22"/>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qFormat/>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明显强调1"/>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484</Words>
  <Characters>2762</Characters>
  <Lines>23</Lines>
  <Paragraphs>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韩美琪/收支处/长春/PBC</cp:lastModifiedBy>
  <cp:lastPrinted>2019-11-29T03:02:00Z</cp:lastPrinted>
  <dcterms:modified xsi:type="dcterms:W3CDTF">2023-09-01T07:39:42Z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