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0" o:spid="_x0000_s1026" type="#_x0000_t75" style="height:69.85pt;width:87.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w:t>
      </w:r>
      <w:r>
        <w:rPr>
          <w:rFonts w:hint="eastAsia" w:ascii="Times New Roman" w:hAnsi="Times New Roman" w:eastAsia="仿宋_GB2312" w:cs="Times New Roman"/>
          <w:sz w:val="30"/>
          <w:szCs w:val="30"/>
        </w:rPr>
        <w:t>/还本付息之日起1</w:t>
      </w:r>
      <w:r>
        <w:rPr>
          <w:rFonts w:ascii="Times New Roman" w:hAnsi="Times New Roman" w:eastAsia="仿宋_GB2312" w:cs="Times New Roman"/>
          <w:sz w:val="30"/>
          <w:szCs w:val="30"/>
        </w:rPr>
        <w:t>5个工作日内，到所在地外汇局逐笔办理备案。</w:t>
      </w:r>
    </w:p>
    <w:p>
      <w:pPr>
        <w:pStyle w:val="16"/>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6"/>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2"/>
        <w:gridCol w:w="4254"/>
        <w:gridCol w:w="992"/>
        <w:gridCol w:w="567"/>
        <w:gridCol w:w="851"/>
        <w:gridCol w:w="567"/>
        <w:gridCol w:w="759"/>
      </w:tblGrid>
      <w:tr>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6"/>
        <w:gridCol w:w="4702"/>
        <w:gridCol w:w="751"/>
        <w:gridCol w:w="487"/>
        <w:gridCol w:w="560"/>
        <w:gridCol w:w="487"/>
        <w:gridCol w:w="1049"/>
      </w:tblGrid>
      <w:tr>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r>
        <w:rPr>
          <w:rFonts w:ascii="Times New Roman" w:hAnsi="Times New Roman" w:eastAsia="黑体" w:cs="Times New Roman"/>
          <w:sz w:val="30"/>
        </w:rPr>
        <w:t>（</w:t>
      </w:r>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w:t>
      </w:r>
      <w:r>
        <w:rPr>
          <w:rFonts w:hint="eastAsia" w:eastAsia="仿宋_GB2312"/>
          <w:sz w:val="30"/>
          <w:szCs w:val="30"/>
          <w:lang w:eastAsia="zh-CN"/>
        </w:rPr>
        <w:t>分支机构</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eastAsia="仿宋_GB2312"/>
          <w:sz w:val="30"/>
          <w:szCs w:val="30"/>
        </w:rPr>
      </w:pPr>
      <w:r>
        <w:rPr>
          <w:rFonts w:eastAsia="仿宋_GB2312"/>
          <w:sz w:val="30"/>
          <w:szCs w:val="30"/>
        </w:rPr>
        <w:t>该项行政许可具体由国家外汇管理局</w:t>
      </w:r>
      <w:r>
        <w:rPr>
          <w:rFonts w:hint="eastAsia" w:eastAsia="仿宋_GB2312"/>
          <w:sz w:val="30"/>
          <w:szCs w:val="30"/>
          <w:lang w:eastAsia="zh-CN"/>
        </w:rPr>
        <w:t>吉林省分局及</w:t>
      </w:r>
      <w:bookmarkStart w:id="0" w:name="_GoBack"/>
      <w:bookmarkEnd w:id="0"/>
      <w:r>
        <w:rPr>
          <w:rFonts w:hint="eastAsia" w:eastAsia="仿宋_GB2312"/>
          <w:sz w:val="30"/>
          <w:szCs w:val="30"/>
          <w:lang w:eastAsia="zh-CN"/>
        </w:rPr>
        <w:t>分支机构</w:t>
      </w:r>
      <w:r>
        <w:rPr>
          <w:rFonts w:eastAsia="仿宋_GB2312"/>
          <w:sz w:val="30"/>
          <w:szCs w:val="30"/>
        </w:rPr>
        <w:t>办理，</w:t>
      </w:r>
      <w:r>
        <w:rPr>
          <w:rFonts w:hint="eastAsia" w:eastAsia="仿宋_GB2312"/>
          <w:sz w:val="30"/>
          <w:szCs w:val="30"/>
        </w:rPr>
        <w:t>国家外汇管理局吉林省</w:t>
      </w:r>
      <w:r>
        <w:rPr>
          <w:rFonts w:hint="eastAsia" w:eastAsia="仿宋_GB2312"/>
          <w:sz w:val="30"/>
          <w:szCs w:val="30"/>
          <w:lang w:eastAsia="zh-CN"/>
        </w:rPr>
        <w:t>分支机构</w:t>
      </w:r>
      <w:r>
        <w:rPr>
          <w:rFonts w:hint="eastAsia" w:eastAsia="仿宋_GB2312"/>
          <w:sz w:val="30"/>
          <w:szCs w:val="30"/>
        </w:rPr>
        <w:t>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pStyle w:val="16"/>
        <w:adjustRightInd w:val="0"/>
        <w:snapToGrid w:val="0"/>
        <w:spacing w:line="360" w:lineRule="auto"/>
        <w:ind w:firstLine="600"/>
        <w:rPr>
          <w:rFonts w:ascii="Times New Roman" w:hAnsi="Times New Roman" w:eastAsia="仿宋_GB2312"/>
          <w:sz w:val="30"/>
          <w:szCs w:val="30"/>
        </w:rPr>
      </w:pPr>
    </w:p>
    <w:p>
      <w:pPr>
        <w:ind w:firstLine="600" w:firstLineChars="200"/>
        <w:rPr>
          <w:rFonts w:eastAsia="仿宋_GB2312"/>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4"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347561">
    <w:nsid w:val="5A155569"/>
    <w:multiLevelType w:val="singleLevel"/>
    <w:tmpl w:val="5A155569"/>
    <w:lvl w:ilvl="0" w:tentative="1">
      <w:start w:val="1"/>
      <w:numFmt w:val="decimal"/>
      <w:suff w:val="nothing"/>
      <w:lvlText w:val="%1."/>
      <w:lvlJc w:val="left"/>
    </w:lvl>
  </w:abstractNum>
  <w:num w:numId="1">
    <w:abstractNumId w:val="1511059921"/>
  </w:num>
  <w:num w:numId="2">
    <w:abstractNumId w:val="1511059936"/>
  </w:num>
  <w:num w:numId="3">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4"/>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3"/>
    <w:unhideWhenUsed/>
    <w:qFormat/>
    <w:uiPriority w:val="0"/>
    <w:rPr>
      <w:rFonts w:ascii="宋体"/>
      <w:sz w:val="18"/>
      <w:szCs w:val="18"/>
    </w:rPr>
  </w:style>
  <w:style w:type="paragraph" w:styleId="6">
    <w:name w:val="annotation text"/>
    <w:basedOn w:val="1"/>
    <w:link w:val="30"/>
    <w:unhideWhenUsed/>
    <w:qFormat/>
    <w:uiPriority w:val="99"/>
    <w:pPr>
      <w:jc w:val="left"/>
    </w:pPr>
    <w:rPr>
      <w:rFonts w:cs="Times New Roman"/>
    </w:rPr>
  </w:style>
  <w:style w:type="paragraph" w:styleId="7">
    <w:name w:val="Balloon Text"/>
    <w:basedOn w:val="1"/>
    <w:link w:val="27"/>
    <w:unhideWhenUsed/>
    <w:qFormat/>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1"/>
    <w:semiHidden/>
    <w:qFormat/>
    <w:uiPriority w:val="0"/>
    <w:pPr>
      <w:snapToGrid w:val="0"/>
      <w:jc w:val="left"/>
    </w:pPr>
    <w:rPr>
      <w:rFonts w:ascii="Times New Roman" w:hAnsi="Times New Roman"/>
      <w:sz w:val="18"/>
      <w:szCs w:val="18"/>
    </w:rPr>
  </w:style>
  <w:style w:type="paragraph" w:styleId="11">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character" w:customStyle="1" w:styleId="22">
    <w:name w:val="标题 1 Char Char"/>
    <w:basedOn w:val="13"/>
    <w:link w:val="2"/>
    <w:uiPriority w:val="9"/>
    <w:rPr>
      <w:rFonts w:ascii="黑体" w:hAnsi="黑体" w:eastAsia="黑体" w:cs="宋体"/>
      <w:color w:val="000000"/>
      <w:kern w:val="0"/>
      <w:sz w:val="30"/>
      <w:szCs w:val="30"/>
    </w:rPr>
  </w:style>
  <w:style w:type="character" w:customStyle="1" w:styleId="23">
    <w:name w:val="标题 2 Char Char"/>
    <w:basedOn w:val="13"/>
    <w:link w:val="3"/>
    <w:uiPriority w:val="9"/>
    <w:rPr>
      <w:rFonts w:ascii="Cambria" w:hAnsi="Cambria" w:eastAsia="宋体" w:cs="Times New Roman"/>
      <w:b/>
      <w:bCs/>
      <w:sz w:val="32"/>
      <w:szCs w:val="32"/>
    </w:rPr>
  </w:style>
  <w:style w:type="character" w:customStyle="1" w:styleId="24">
    <w:name w:val="标题 3 Char Char"/>
    <w:basedOn w:val="13"/>
    <w:link w:val="4"/>
    <w:uiPriority w:val="9"/>
    <w:rPr>
      <w:rFonts w:ascii="仿宋_GB2312" w:hAnsi="Calibri" w:eastAsia="仿宋_GB2312" w:cs="Times New Roman"/>
      <w:sz w:val="30"/>
      <w:szCs w:val="30"/>
    </w:rPr>
  </w:style>
  <w:style w:type="character" w:customStyle="1" w:styleId="25">
    <w:name w:val="页眉 Char Char"/>
    <w:basedOn w:val="13"/>
    <w:link w:val="9"/>
    <w:uiPriority w:val="99"/>
    <w:rPr>
      <w:sz w:val="18"/>
      <w:szCs w:val="18"/>
    </w:rPr>
  </w:style>
  <w:style w:type="character" w:customStyle="1" w:styleId="26">
    <w:name w:val="页脚 Char Char"/>
    <w:basedOn w:val="13"/>
    <w:link w:val="8"/>
    <w:uiPriority w:val="99"/>
    <w:rPr>
      <w:sz w:val="18"/>
      <w:szCs w:val="18"/>
    </w:rPr>
  </w:style>
  <w:style w:type="character" w:customStyle="1" w:styleId="27">
    <w:name w:val="批注框文本 Char Char"/>
    <w:basedOn w:val="13"/>
    <w:link w:val="7"/>
    <w:uiPriority w:val="0"/>
    <w:rPr>
      <w:sz w:val="18"/>
      <w:szCs w:val="18"/>
    </w:rPr>
  </w:style>
  <w:style w:type="character" w:customStyle="1" w:styleId="28">
    <w:name w:val="批注框文本 Char1"/>
    <w:basedOn w:val="13"/>
    <w:semiHidden/>
    <w:qFormat/>
    <w:uiPriority w:val="99"/>
    <w:rPr>
      <w:sz w:val="18"/>
      <w:szCs w:val="18"/>
    </w:rPr>
  </w:style>
  <w:style w:type="character" w:customStyle="1" w:styleId="29">
    <w:name w:val="HTML 预设格式 Char Char"/>
    <w:basedOn w:val="13"/>
    <w:link w:val="11"/>
    <w:uiPriority w:val="99"/>
    <w:rPr>
      <w:rFonts w:ascii="宋体" w:hAnsi="宋体" w:eastAsia="宋体" w:cs="宋体"/>
      <w:kern w:val="0"/>
      <w:sz w:val="24"/>
      <w:szCs w:val="24"/>
    </w:rPr>
  </w:style>
  <w:style w:type="character" w:customStyle="1" w:styleId="30">
    <w:name w:val="批注文字 Char Char"/>
    <w:basedOn w:val="13"/>
    <w:link w:val="6"/>
    <w:uiPriority w:val="99"/>
    <w:rPr>
      <w:rFonts w:ascii="Calibri" w:hAnsi="Calibri" w:eastAsia="宋体" w:cs="Times New Roman"/>
    </w:rPr>
  </w:style>
  <w:style w:type="character" w:customStyle="1" w:styleId="31">
    <w:name w:val="脚注文本 Char Char"/>
    <w:basedOn w:val="13"/>
    <w:link w:val="10"/>
    <w:uiPriority w:val="0"/>
    <w:rPr>
      <w:rFonts w:ascii="Times New Roman" w:hAnsi="Times New Roman"/>
      <w:sz w:val="18"/>
      <w:szCs w:val="18"/>
    </w:rPr>
  </w:style>
  <w:style w:type="character" w:customStyle="1" w:styleId="32">
    <w:name w:val="标题 4 Char Char"/>
    <w:qFormat/>
    <w:uiPriority w:val="0"/>
    <w:rPr>
      <w:rFonts w:ascii="Calibri" w:hAnsi="Calibri"/>
      <w:b/>
      <w:bCs/>
      <w:sz w:val="28"/>
      <w:szCs w:val="28"/>
      <w:lang w:eastAsia="en-US" w:bidi="en-US"/>
    </w:rPr>
  </w:style>
  <w:style w:type="character" w:customStyle="1" w:styleId="33">
    <w:name w:val="文档结构图 Char Char"/>
    <w:basedOn w:val="13"/>
    <w:link w:val="5"/>
    <w:uiPriority w:val="0"/>
    <w:rPr>
      <w:rFonts w:ascii="宋体"/>
      <w:sz w:val="18"/>
      <w:szCs w:val="18"/>
    </w:rPr>
  </w:style>
  <w:style w:type="character" w:customStyle="1" w:styleId="34">
    <w:name w:val="明显强调1"/>
    <w:basedOn w:val="13"/>
    <w:qFormat/>
    <w:uiPriority w:val="21"/>
    <w:rPr>
      <w:b/>
      <w:bCs/>
      <w:i/>
      <w:iCs/>
      <w:color w:val="4F81BD"/>
    </w:rPr>
  </w:style>
  <w:style w:type="character" w:customStyle="1" w:styleId="35">
    <w:name w:val="文档结构图 Char1"/>
    <w:basedOn w:val="13"/>
    <w:semiHidden/>
    <w:qFormat/>
    <w:uiPriority w:val="99"/>
    <w:rPr>
      <w:rFonts w:ascii="宋体" w:eastAsia="宋体"/>
      <w:sz w:val="18"/>
      <w:szCs w:val="18"/>
    </w:rPr>
  </w:style>
  <w:style w:type="character" w:customStyle="1" w:styleId="36">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409</Words>
  <Characters>2336</Characters>
  <Lines>19</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韩美琪/收支处/长春/PBC</cp:lastModifiedBy>
  <cp:lastPrinted>2020-07-02T08:52:00Z</cp:lastPrinted>
  <dcterms:modified xsi:type="dcterms:W3CDTF">2023-09-01T07:43:08Z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