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5" w:type="dxa"/>
        <w:tblCellMar>
          <w:left w:w="0" w:type="dxa"/>
          <w:right w:w="0" w:type="dxa"/>
        </w:tblCellMar>
        <w:tblLook w:val="04A0"/>
      </w:tblPr>
      <w:tblGrid>
        <w:gridCol w:w="8396"/>
      </w:tblGrid>
      <w:tr w:rsidR="00A67581" w:rsidRPr="00A67581" w:rsidTr="00A67581">
        <w:trPr>
          <w:trHeight w:val="180"/>
          <w:tblCellSpacing w:w="15" w:type="dxa"/>
          <w:jc w:val="center"/>
        </w:trPr>
        <w:tc>
          <w:tcPr>
            <w:tcW w:w="0" w:type="auto"/>
            <w:tcMar>
              <w:top w:w="15" w:type="dxa"/>
              <w:left w:w="15" w:type="dxa"/>
              <w:bottom w:w="15" w:type="dxa"/>
              <w:right w:w="15" w:type="dxa"/>
            </w:tcMar>
            <w:vAlign w:val="center"/>
            <w:hideMark/>
          </w:tcPr>
          <w:p w:rsidR="00A67581" w:rsidRPr="00A67581" w:rsidRDefault="00A67581" w:rsidP="00A67581">
            <w:pPr>
              <w:widowControl/>
              <w:jc w:val="center"/>
              <w:rPr>
                <w:rFonts w:ascii="宋体" w:eastAsia="宋体" w:hAnsi="宋体" w:cs="宋体"/>
                <w:kern w:val="0"/>
                <w:sz w:val="24"/>
                <w:szCs w:val="24"/>
              </w:rPr>
            </w:pPr>
            <w:r w:rsidRPr="00A67581">
              <w:rPr>
                <w:rFonts w:ascii="宋体" w:eastAsia="宋体" w:hAnsi="宋体" w:cs="宋体"/>
                <w:b/>
                <w:bCs/>
                <w:kern w:val="0"/>
                <w:sz w:val="36"/>
              </w:rPr>
              <w:t>金融机构为非金融机构办理内保外贷项下履约款购付汇及收结汇操作指引</w:t>
            </w:r>
          </w:p>
          <w:p w:rsidR="00A67581" w:rsidRPr="00A67581" w:rsidRDefault="00A67581" w:rsidP="00A67581">
            <w:pPr>
              <w:widowControl/>
              <w:spacing w:after="240" w:line="180" w:lineRule="atLeast"/>
              <w:jc w:val="center"/>
              <w:rPr>
                <w:rFonts w:ascii="宋体" w:eastAsia="宋体" w:hAnsi="宋体" w:cs="宋体"/>
                <w:kern w:val="0"/>
                <w:sz w:val="24"/>
                <w:szCs w:val="24"/>
              </w:rPr>
            </w:pPr>
          </w:p>
        </w:tc>
      </w:tr>
      <w:tr w:rsidR="00A67581" w:rsidRPr="00A67581" w:rsidTr="00A67581">
        <w:trPr>
          <w:tblCellSpacing w:w="15" w:type="dxa"/>
          <w:jc w:val="center"/>
          <w:hidden/>
        </w:trPr>
        <w:tc>
          <w:tcPr>
            <w:tcW w:w="0" w:type="auto"/>
            <w:tcMar>
              <w:top w:w="15" w:type="dxa"/>
              <w:left w:w="15" w:type="dxa"/>
              <w:bottom w:w="15" w:type="dxa"/>
              <w:right w:w="15" w:type="dxa"/>
            </w:tcMar>
            <w:vAlign w:val="center"/>
            <w:hideMark/>
          </w:tcPr>
          <w:p w:rsidR="00A67581" w:rsidRPr="00A67581" w:rsidRDefault="00A67581" w:rsidP="00A67581">
            <w:pPr>
              <w:widowControl/>
              <w:jc w:val="center"/>
              <w:rPr>
                <w:rFonts w:ascii="宋体" w:eastAsia="宋体" w:hAnsi="宋体" w:cs="宋体"/>
                <w:vanish/>
                <w:kern w:val="0"/>
                <w:sz w:val="24"/>
                <w:szCs w:val="24"/>
              </w:rPr>
            </w:pPr>
          </w:p>
        </w:tc>
      </w:tr>
      <w:tr w:rsidR="00A67581" w:rsidRPr="00A67581" w:rsidTr="00A67581">
        <w:trPr>
          <w:trHeight w:val="180"/>
          <w:tblCellSpacing w:w="15" w:type="dxa"/>
          <w:jc w:val="center"/>
        </w:trPr>
        <w:tc>
          <w:tcPr>
            <w:tcW w:w="0" w:type="auto"/>
            <w:tcMar>
              <w:top w:w="15" w:type="dxa"/>
              <w:left w:w="15" w:type="dxa"/>
              <w:bottom w:w="15" w:type="dxa"/>
              <w:right w:w="15" w:type="dxa"/>
            </w:tcMar>
            <w:vAlign w:val="center"/>
            <w:hideMark/>
          </w:tcPr>
          <w:tbl>
            <w:tblPr>
              <w:tblW w:w="0" w:type="auto"/>
              <w:jc w:val="center"/>
              <w:tblCellSpacing w:w="15" w:type="dxa"/>
              <w:tblCellMar>
                <w:top w:w="15" w:type="dxa"/>
                <w:left w:w="15" w:type="dxa"/>
                <w:bottom w:w="15" w:type="dxa"/>
                <w:right w:w="15" w:type="dxa"/>
              </w:tblCellMar>
              <w:tblLook w:val="04A0"/>
            </w:tblPr>
            <w:tblGrid>
              <w:gridCol w:w="8306"/>
            </w:tblGrid>
            <w:tr w:rsidR="00A67581" w:rsidRPr="00A67581" w:rsidTr="00A67581">
              <w:trPr>
                <w:tblCellSpacing w:w="15" w:type="dxa"/>
                <w:jc w:val="center"/>
              </w:trPr>
              <w:tc>
                <w:tcPr>
                  <w:tcW w:w="13500" w:type="dxa"/>
                  <w:vAlign w:val="center"/>
                </w:tcPr>
                <w:p w:rsidR="00A67581" w:rsidRPr="00A67581" w:rsidRDefault="00A67581" w:rsidP="00A67581">
                  <w:pPr>
                    <w:widowControl/>
                    <w:spacing w:line="450" w:lineRule="atLeast"/>
                    <w:ind w:rightChars="-24" w:right="-50"/>
                    <w:jc w:val="left"/>
                    <w:rPr>
                      <w:rFonts w:ascii="楷体_GB2312" w:eastAsia="楷体_GB2312" w:hAnsi="仿宋" w:cs="宋体"/>
                      <w:b/>
                      <w:color w:val="000000"/>
                      <w:kern w:val="0"/>
                      <w:sz w:val="36"/>
                      <w:szCs w:val="36"/>
                      <w:shd w:val="pct15" w:color="auto" w:fill="FFFFFF"/>
                    </w:rPr>
                  </w:pPr>
                  <w:r w:rsidRPr="00A67581">
                    <w:rPr>
                      <w:rFonts w:ascii="楷体_GB2312" w:eastAsia="楷体_GB2312" w:hAnsi="仿宋" w:cs="宋体" w:hint="eastAsia"/>
                      <w:b/>
                      <w:color w:val="000000"/>
                      <w:kern w:val="0"/>
                      <w:sz w:val="36"/>
                      <w:szCs w:val="36"/>
                      <w:shd w:val="pct15" w:color="auto" w:fill="FFFFFF"/>
                    </w:rPr>
                    <w:t>主要法规依据</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1.《中华人民共和国外汇管理条例》（国务院令第532号）。</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2.《国家外汇管理局关于发布〈跨境担保外汇管理规定〉的通知》（汇发〔2014〕29号）。</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3.《国家外汇管理局关于发布〈金融机构外汇业务数据采集规范（1.1版）〉的通知》（汇发〔2016〕22号）。</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4.其他相关法规。</w:t>
                  </w:r>
                </w:p>
                <w:p w:rsidR="00A67581" w:rsidRPr="00A67581" w:rsidRDefault="00A67581" w:rsidP="00A67581">
                  <w:pPr>
                    <w:widowControl/>
                    <w:spacing w:line="450" w:lineRule="atLeast"/>
                    <w:ind w:rightChars="-24" w:right="-50"/>
                    <w:jc w:val="left"/>
                    <w:rPr>
                      <w:rFonts w:ascii="楷体_GB2312" w:eastAsia="楷体_GB2312" w:hAnsi="仿宋" w:cs="宋体"/>
                      <w:b/>
                      <w:color w:val="000000"/>
                      <w:kern w:val="0"/>
                      <w:sz w:val="36"/>
                      <w:szCs w:val="36"/>
                      <w:shd w:val="pct15" w:color="auto" w:fill="FFFFFF"/>
                    </w:rPr>
                  </w:pPr>
                  <w:r w:rsidRPr="00A67581">
                    <w:rPr>
                      <w:rFonts w:ascii="楷体_GB2312" w:eastAsia="楷体_GB2312" w:hAnsi="仿宋" w:cs="宋体" w:hint="eastAsia"/>
                      <w:b/>
                      <w:color w:val="000000"/>
                      <w:kern w:val="0"/>
                      <w:sz w:val="36"/>
                      <w:szCs w:val="36"/>
                      <w:shd w:val="pct15" w:color="auto" w:fill="FFFFFF"/>
                    </w:rPr>
                    <w:t>主要法规依据</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1.《中华人民共和国外汇管理条例》（国务院令第532号）。</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2.《国家外汇管理局关于发布〈跨境担保外汇管理规定〉的通知》（汇发〔2014〕29号）。</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3.《国家外汇管理局关于发布〈金融机构外汇业务数据采集规范（1.1版）〉的通知》（汇发〔2016〕22号）。</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4.《国家外汇管理局关于进一步推进外汇管理改革完善真实合规性审核的通知》（汇发〔2017〕3号）。</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5.其他相关法规。</w:t>
                  </w:r>
                </w:p>
                <w:p w:rsidR="00A67581" w:rsidRPr="00A67581" w:rsidRDefault="00A67581" w:rsidP="00A67581">
                  <w:pPr>
                    <w:widowControl/>
                    <w:spacing w:line="450" w:lineRule="atLeast"/>
                    <w:ind w:rightChars="-24" w:right="-50"/>
                    <w:jc w:val="left"/>
                    <w:rPr>
                      <w:rFonts w:ascii="楷体_GB2312" w:eastAsia="楷体_GB2312" w:hAnsi="仿宋" w:cs="宋体"/>
                      <w:b/>
                      <w:color w:val="000000"/>
                      <w:kern w:val="0"/>
                      <w:sz w:val="36"/>
                      <w:szCs w:val="36"/>
                      <w:shd w:val="pct15" w:color="auto" w:fill="FFFFFF"/>
                    </w:rPr>
                  </w:pPr>
                  <w:r w:rsidRPr="00A67581">
                    <w:rPr>
                      <w:rFonts w:ascii="楷体_GB2312" w:eastAsia="楷体_GB2312" w:hAnsi="仿宋" w:cs="宋体" w:hint="eastAsia"/>
                      <w:b/>
                      <w:color w:val="000000"/>
                      <w:kern w:val="0"/>
                      <w:sz w:val="36"/>
                      <w:szCs w:val="36"/>
                      <w:shd w:val="pct15" w:color="auto" w:fill="FFFFFF"/>
                    </w:rPr>
                    <w:t>审核材料</w:t>
                  </w:r>
                </w:p>
                <w:p w:rsidR="00A67581" w:rsidRPr="00A67581" w:rsidRDefault="00A67581" w:rsidP="00A67581">
                  <w:pPr>
                    <w:widowControl/>
                    <w:spacing w:line="450" w:lineRule="atLeast"/>
                    <w:ind w:firstLineChars="200" w:firstLine="602"/>
                    <w:jc w:val="left"/>
                    <w:rPr>
                      <w:rFonts w:ascii="仿宋" w:eastAsia="仿宋" w:hAnsi="仿宋" w:cs="宋体"/>
                      <w:b/>
                      <w:kern w:val="0"/>
                      <w:sz w:val="30"/>
                      <w:szCs w:val="30"/>
                    </w:rPr>
                  </w:pPr>
                  <w:r w:rsidRPr="00A67581">
                    <w:rPr>
                      <w:rFonts w:ascii="仿宋" w:eastAsia="仿宋" w:hAnsi="仿宋" w:cs="宋体" w:hint="eastAsia"/>
                      <w:b/>
                      <w:kern w:val="0"/>
                      <w:sz w:val="30"/>
                      <w:szCs w:val="30"/>
                    </w:rPr>
                    <w:t>一、银行作为担保人的内保外贷履约款购付汇</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1.内保外贷履约证明材料（银行发生内保外贷担保履约时</w:t>
                  </w:r>
                  <w:r w:rsidRPr="00A67581">
                    <w:rPr>
                      <w:rFonts w:ascii="仿宋" w:eastAsia="仿宋" w:hAnsi="仿宋" w:cs="宋体" w:hint="eastAsia"/>
                      <w:kern w:val="0"/>
                      <w:sz w:val="30"/>
                      <w:szCs w:val="30"/>
                    </w:rPr>
                    <w:lastRenderedPageBreak/>
                    <w:t>可提供索偿报文及履约原因说明）。</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2.外汇局关于银行内保外贷履约款购付汇的备案文件。</w:t>
                  </w:r>
                </w:p>
                <w:p w:rsidR="00A67581" w:rsidRPr="00A67581" w:rsidRDefault="00A67581" w:rsidP="00A67581">
                  <w:pPr>
                    <w:widowControl/>
                    <w:spacing w:line="450" w:lineRule="atLeast"/>
                    <w:ind w:firstLineChars="200" w:firstLine="602"/>
                    <w:jc w:val="left"/>
                    <w:rPr>
                      <w:rFonts w:ascii="仿宋" w:eastAsia="仿宋" w:hAnsi="仿宋" w:cs="宋体"/>
                      <w:b/>
                      <w:kern w:val="0"/>
                      <w:sz w:val="30"/>
                      <w:szCs w:val="30"/>
                    </w:rPr>
                  </w:pPr>
                  <w:r w:rsidRPr="00A67581">
                    <w:rPr>
                      <w:rFonts w:ascii="仿宋" w:eastAsia="仿宋" w:hAnsi="仿宋" w:cs="宋体" w:hint="eastAsia"/>
                      <w:b/>
                      <w:kern w:val="0"/>
                      <w:sz w:val="30"/>
                      <w:szCs w:val="30"/>
                    </w:rPr>
                    <w:t>二、银行为非银行机构作为担保人的内保外贷履约款办理购付汇</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1.内保外贷履约证明材料。</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2.《对外担保登记表》和《业务登记凭证》。</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3.银行认为必要的其他材料。</w:t>
                  </w:r>
                </w:p>
                <w:p w:rsidR="00A67581" w:rsidRPr="00A67581" w:rsidRDefault="00A67581" w:rsidP="00A67581">
                  <w:pPr>
                    <w:widowControl/>
                    <w:spacing w:line="450" w:lineRule="atLeast"/>
                    <w:ind w:firstLineChars="200" w:firstLine="602"/>
                    <w:jc w:val="left"/>
                    <w:rPr>
                      <w:rFonts w:ascii="仿宋" w:eastAsia="仿宋" w:hAnsi="仿宋" w:cs="宋体"/>
                      <w:b/>
                      <w:kern w:val="0"/>
                      <w:sz w:val="30"/>
                      <w:szCs w:val="30"/>
                    </w:rPr>
                  </w:pPr>
                  <w:r w:rsidRPr="00A67581">
                    <w:rPr>
                      <w:rFonts w:ascii="仿宋" w:eastAsia="仿宋" w:hAnsi="仿宋" w:cs="宋体" w:hint="eastAsia"/>
                      <w:b/>
                      <w:kern w:val="0"/>
                      <w:sz w:val="30"/>
                      <w:szCs w:val="30"/>
                    </w:rPr>
                    <w:t>三、银行作为担保人的内保外贷履约后形成银行自身对外债权的清收款收结汇</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对外债权登记凭证。</w:t>
                  </w:r>
                </w:p>
                <w:p w:rsidR="00A67581" w:rsidRPr="00A67581" w:rsidRDefault="00A67581" w:rsidP="00A67581">
                  <w:pPr>
                    <w:widowControl/>
                    <w:spacing w:line="450" w:lineRule="atLeast"/>
                    <w:ind w:firstLineChars="200" w:firstLine="602"/>
                    <w:jc w:val="left"/>
                    <w:rPr>
                      <w:rFonts w:ascii="仿宋" w:eastAsia="仿宋" w:hAnsi="仿宋" w:cs="宋体"/>
                      <w:b/>
                      <w:kern w:val="0"/>
                      <w:sz w:val="30"/>
                      <w:szCs w:val="30"/>
                    </w:rPr>
                  </w:pPr>
                  <w:r w:rsidRPr="00A67581">
                    <w:rPr>
                      <w:rFonts w:ascii="仿宋" w:eastAsia="仿宋" w:hAnsi="仿宋" w:cs="宋体" w:hint="eastAsia"/>
                      <w:b/>
                      <w:kern w:val="0"/>
                      <w:sz w:val="30"/>
                      <w:szCs w:val="30"/>
                    </w:rPr>
                    <w:t>四、非银行机构作为担保人的内保外贷履约后形成对外债权的清收款收结汇</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1.对外债权登记凭证。</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2.银行认为必要的其他材料。</w:t>
                  </w:r>
                </w:p>
                <w:p w:rsidR="00A67581" w:rsidRPr="00A67581" w:rsidRDefault="00A67581" w:rsidP="00A67581">
                  <w:pPr>
                    <w:widowControl/>
                    <w:spacing w:line="450" w:lineRule="atLeast"/>
                    <w:ind w:firstLineChars="200" w:firstLine="480"/>
                    <w:jc w:val="left"/>
                    <w:rPr>
                      <w:rFonts w:ascii="宋体" w:cs="宋体"/>
                      <w:kern w:val="0"/>
                      <w:sz w:val="24"/>
                      <w:highlight w:val="yellow"/>
                    </w:rPr>
                  </w:pPr>
                </w:p>
                <w:p w:rsidR="00A67581" w:rsidRPr="00A67581" w:rsidRDefault="00A67581" w:rsidP="00A67581">
                  <w:pPr>
                    <w:widowControl/>
                    <w:spacing w:line="450" w:lineRule="atLeast"/>
                    <w:ind w:rightChars="-24" w:right="-50"/>
                    <w:jc w:val="left"/>
                    <w:rPr>
                      <w:rFonts w:ascii="楷体_GB2312" w:eastAsia="楷体_GB2312" w:hAnsi="仿宋" w:cs="宋体"/>
                      <w:b/>
                      <w:color w:val="000000"/>
                      <w:kern w:val="0"/>
                      <w:sz w:val="36"/>
                      <w:szCs w:val="36"/>
                      <w:shd w:val="pct15" w:color="auto" w:fill="FFFFFF"/>
                    </w:rPr>
                  </w:pPr>
                  <w:r w:rsidRPr="00A67581">
                    <w:rPr>
                      <w:rFonts w:ascii="楷体_GB2312" w:eastAsia="楷体_GB2312" w:hAnsi="仿宋" w:cs="宋体" w:hint="eastAsia"/>
                      <w:b/>
                      <w:color w:val="000000"/>
                      <w:kern w:val="0"/>
                      <w:sz w:val="36"/>
                      <w:szCs w:val="36"/>
                      <w:shd w:val="pct15" w:color="auto" w:fill="FFFFFF"/>
                    </w:rPr>
                    <w:t>审核原则</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1.担保履约</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1）汇发〔2017〕3号文件实施后银行新提供的内保外贷，如果发生担保项下主债务违约，银行应先使用自有资金履约，不得以反担保资金直接购汇履约；银行履约后造成本外币资金不匹配的，需经所在地外汇分局资本项目管理部门备案后办理结售汇相关手续。</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lastRenderedPageBreak/>
                    <w:t>（2）非银行机构发生担保履约的，可凭加盖外汇局印章的担保登记凭证直接到银行办理担保履约项下购汇及对外支付。在办理国际收支间接申报时，须填写该笔担保登记时取得的业务编号。</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2. 对外债权登记</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内保外贷发生担保履约的，成为对外债权人的境内担保人或境内反担保人，应办理对外债权登记。</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1）对外债权人为银行的，通过资本项目信息系统报送对外债权相关信息。对外债权人为非银行机构的，应在担保履约后15个工作日内到所在地外汇局办理对外债权登记，并按规定办理与对外债权相关的变更、注销手续。境内反担保人履约的，担保人应督促成为实际债权人的反担保人办理对外债权登记。</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（2）对外债权人为非银行机构时，其向债务人追偿所得资金为外汇的，在向银行说明资金来源、银行确认境内担保人已按照相关规定办理对外债权登记后可以办理结汇。</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（3）境内担保人向境内债权人支付担保履约款，或境内债务人向境内担保人偿还担保履约款的，因担保项下债务计价结算币种为外币而付款人需要办理境内外汇划转的，付款人可直接在银行办理相关付款手续。</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3.境内机构为自身债务提供跨境物权担保的，不需要办理担保登记。担保人以法规允许的方式用抵押物折价清偿债务，或抵押权人变卖抵押物后申请办理对外汇款时，担保人参照一</w:t>
                  </w:r>
                  <w:r w:rsidRPr="00A67581">
                    <w:rPr>
                      <w:rFonts w:ascii="仿宋" w:eastAsia="仿宋" w:hAnsi="仿宋" w:cs="宋体" w:hint="eastAsia"/>
                      <w:kern w:val="0"/>
                      <w:sz w:val="30"/>
                      <w:szCs w:val="30"/>
                    </w:rPr>
                    <w:lastRenderedPageBreak/>
                    <w:t>般外债的还本付息办理相关付款手续。</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4.担保人、债务人、债权人申请办理与跨境担保相关的购付汇和收结汇时，银行应对跨境担保交易的背景进行尽职审查，以确定该担保合同符合中国法律法规和跨境担保外汇管理规定。</w:t>
                  </w:r>
                </w:p>
                <w:p w:rsidR="00A67581" w:rsidRPr="00A67581" w:rsidRDefault="00A67581" w:rsidP="00A67581">
                  <w:pPr>
                    <w:widowControl/>
                    <w:spacing w:line="450" w:lineRule="atLeast"/>
                    <w:ind w:firstLineChars="200" w:firstLine="480"/>
                    <w:jc w:val="left"/>
                    <w:rPr>
                      <w:rFonts w:ascii="宋体" w:cs="宋体"/>
                      <w:kern w:val="0"/>
                      <w:sz w:val="24"/>
                      <w:highlight w:val="yellow"/>
                    </w:rPr>
                  </w:pPr>
                </w:p>
                <w:p w:rsidR="00A67581" w:rsidRPr="00A67581" w:rsidRDefault="00A67581" w:rsidP="00A67581">
                  <w:pPr>
                    <w:widowControl/>
                    <w:spacing w:line="450" w:lineRule="atLeast"/>
                    <w:ind w:rightChars="-24" w:right="-50"/>
                    <w:jc w:val="left"/>
                    <w:rPr>
                      <w:rFonts w:ascii="楷体_GB2312" w:eastAsia="楷体_GB2312" w:hAnsi="仿宋" w:cs="宋体"/>
                      <w:b/>
                      <w:color w:val="000000"/>
                      <w:kern w:val="0"/>
                      <w:sz w:val="36"/>
                      <w:szCs w:val="36"/>
                      <w:shd w:val="pct15" w:color="auto" w:fill="FFFFFF"/>
                    </w:rPr>
                  </w:pPr>
                  <w:r w:rsidRPr="00A67581">
                    <w:rPr>
                      <w:rFonts w:ascii="楷体_GB2312" w:eastAsia="楷体_GB2312" w:hAnsi="仿宋" w:cs="宋体" w:hint="eastAsia"/>
                      <w:b/>
                      <w:color w:val="000000"/>
                      <w:kern w:val="0"/>
                      <w:sz w:val="36"/>
                      <w:szCs w:val="36"/>
                      <w:shd w:val="pct15" w:color="auto" w:fill="FFFFFF"/>
                    </w:rPr>
                    <w:t>注意事项</w:t>
                  </w:r>
                </w:p>
                <w:p w:rsidR="00A67581" w:rsidRPr="00A67581" w:rsidRDefault="00A67581" w:rsidP="00A67581">
                  <w:pPr>
                    <w:widowControl/>
                    <w:spacing w:line="450" w:lineRule="atLeast"/>
                    <w:ind w:firstLineChars="200" w:firstLine="600"/>
                    <w:jc w:val="left"/>
                    <w:rPr>
                      <w:rFonts w:ascii="仿宋" w:eastAsia="仿宋" w:hAnsi="仿宋" w:cs="宋体"/>
                      <w:kern w:val="0"/>
                      <w:sz w:val="30"/>
                      <w:szCs w:val="30"/>
                    </w:rPr>
                  </w:pPr>
                  <w:r w:rsidRPr="00A67581">
                    <w:rPr>
                      <w:rFonts w:ascii="仿宋" w:eastAsia="仿宋" w:hAnsi="仿宋" w:cs="宋体" w:hint="eastAsia"/>
                      <w:kern w:val="0"/>
                      <w:sz w:val="30"/>
                      <w:szCs w:val="30"/>
                    </w:rPr>
                    <w:t>担保合同（或保函）与履约币种原则上应保持一致。</w:t>
                  </w:r>
                </w:p>
              </w:tc>
            </w:tr>
          </w:tbl>
          <w:p w:rsidR="00A67581" w:rsidRPr="00A67581" w:rsidRDefault="00A67581" w:rsidP="00A67581">
            <w:pPr>
              <w:widowControl/>
              <w:spacing w:line="180" w:lineRule="atLeast"/>
              <w:jc w:val="center"/>
              <w:rPr>
                <w:rFonts w:ascii="宋体" w:eastAsia="宋体" w:hAnsi="宋体" w:cs="宋体"/>
                <w:kern w:val="0"/>
                <w:sz w:val="24"/>
                <w:szCs w:val="24"/>
              </w:rPr>
            </w:pPr>
          </w:p>
        </w:tc>
      </w:tr>
    </w:tbl>
    <w:p w:rsidR="000E309A" w:rsidRPr="00A67581" w:rsidRDefault="000E309A"/>
    <w:sectPr w:rsidR="000E309A" w:rsidRPr="00A67581" w:rsidSect="000370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92F" w:rsidRDefault="0046592F" w:rsidP="00A67581">
      <w:r>
        <w:separator/>
      </w:r>
    </w:p>
  </w:endnote>
  <w:endnote w:type="continuationSeparator" w:id="1">
    <w:p w:rsidR="0046592F" w:rsidRDefault="0046592F" w:rsidP="00A675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92F" w:rsidRDefault="0046592F" w:rsidP="00A67581">
      <w:r>
        <w:separator/>
      </w:r>
    </w:p>
  </w:footnote>
  <w:footnote w:type="continuationSeparator" w:id="1">
    <w:p w:rsidR="0046592F" w:rsidRDefault="0046592F" w:rsidP="00A675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7581"/>
    <w:rsid w:val="00037069"/>
    <w:rsid w:val="000E309A"/>
    <w:rsid w:val="0046592F"/>
    <w:rsid w:val="00A67581"/>
    <w:rsid w:val="00EF3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0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75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7581"/>
    <w:rPr>
      <w:sz w:val="18"/>
      <w:szCs w:val="18"/>
    </w:rPr>
  </w:style>
  <w:style w:type="paragraph" w:styleId="a4">
    <w:name w:val="footer"/>
    <w:basedOn w:val="a"/>
    <w:link w:val="Char0"/>
    <w:uiPriority w:val="99"/>
    <w:semiHidden/>
    <w:unhideWhenUsed/>
    <w:rsid w:val="00A675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7581"/>
    <w:rPr>
      <w:sz w:val="18"/>
      <w:szCs w:val="18"/>
    </w:rPr>
  </w:style>
  <w:style w:type="character" w:styleId="a5">
    <w:name w:val="Strong"/>
    <w:basedOn w:val="a0"/>
    <w:uiPriority w:val="22"/>
    <w:qFormat/>
    <w:rsid w:val="00A67581"/>
    <w:rPr>
      <w:b/>
      <w:bCs/>
    </w:rPr>
  </w:style>
</w:styles>
</file>

<file path=word/webSettings.xml><?xml version="1.0" encoding="utf-8"?>
<w:webSettings xmlns:r="http://schemas.openxmlformats.org/officeDocument/2006/relationships" xmlns:w="http://schemas.openxmlformats.org/wordprocessingml/2006/main">
  <w:divs>
    <w:div w:id="338775361">
      <w:bodyDiv w:val="1"/>
      <w:marLeft w:val="0"/>
      <w:marRight w:val="0"/>
      <w:marTop w:val="0"/>
      <w:marBottom w:val="0"/>
      <w:divBdr>
        <w:top w:val="none" w:sz="0" w:space="0" w:color="auto"/>
        <w:left w:val="none" w:sz="0" w:space="0" w:color="auto"/>
        <w:bottom w:val="none" w:sz="0" w:space="0" w:color="auto"/>
        <w:right w:val="none" w:sz="0" w:space="0" w:color="auto"/>
      </w:divBdr>
      <w:divsChild>
        <w:div w:id="767505052">
          <w:marLeft w:val="0"/>
          <w:marRight w:val="0"/>
          <w:marTop w:val="0"/>
          <w:marBottom w:val="0"/>
          <w:divBdr>
            <w:top w:val="none" w:sz="0" w:space="0" w:color="auto"/>
            <w:left w:val="none" w:sz="0" w:space="0" w:color="auto"/>
            <w:bottom w:val="none" w:sz="0" w:space="0" w:color="auto"/>
            <w:right w:val="none" w:sz="0" w:space="0" w:color="auto"/>
          </w:divBdr>
          <w:divsChild>
            <w:div w:id="1991596863">
              <w:marLeft w:val="0"/>
              <w:marRight w:val="0"/>
              <w:marTop w:val="0"/>
              <w:marBottom w:val="0"/>
              <w:divBdr>
                <w:top w:val="none" w:sz="0" w:space="0" w:color="auto"/>
                <w:left w:val="none" w:sz="0" w:space="0" w:color="auto"/>
                <w:bottom w:val="none" w:sz="0" w:space="0" w:color="auto"/>
                <w:right w:val="none" w:sz="0" w:space="0" w:color="auto"/>
              </w:divBdr>
              <w:divsChild>
                <w:div w:id="330530164">
                  <w:marLeft w:val="0"/>
                  <w:marRight w:val="0"/>
                  <w:marTop w:val="0"/>
                  <w:marBottom w:val="0"/>
                  <w:divBdr>
                    <w:top w:val="none" w:sz="0" w:space="0" w:color="auto"/>
                    <w:left w:val="none" w:sz="0" w:space="0" w:color="auto"/>
                    <w:bottom w:val="none" w:sz="0" w:space="0" w:color="auto"/>
                    <w:right w:val="none" w:sz="0" w:space="0" w:color="auto"/>
                  </w:divBdr>
                  <w:divsChild>
                    <w:div w:id="1326514670">
                      <w:marLeft w:val="0"/>
                      <w:marRight w:val="0"/>
                      <w:marTop w:val="0"/>
                      <w:marBottom w:val="0"/>
                      <w:divBdr>
                        <w:top w:val="none" w:sz="0" w:space="0" w:color="auto"/>
                        <w:left w:val="none" w:sz="0" w:space="0" w:color="auto"/>
                        <w:bottom w:val="none" w:sz="0" w:space="0" w:color="auto"/>
                        <w:right w:val="none" w:sz="0" w:space="0" w:color="auto"/>
                      </w:divBdr>
                    </w:div>
                    <w:div w:id="1155756207">
                      <w:marLeft w:val="0"/>
                      <w:marRight w:val="0"/>
                      <w:marTop w:val="0"/>
                      <w:marBottom w:val="0"/>
                      <w:divBdr>
                        <w:top w:val="single" w:sz="2" w:space="0" w:color="auto"/>
                        <w:left w:val="single" w:sz="2" w:space="0" w:color="auto"/>
                        <w:bottom w:val="single" w:sz="2" w:space="0" w:color="auto"/>
                        <w:right w:val="single" w:sz="2" w:space="0" w:color="auto"/>
                      </w:divBdr>
                      <w:divsChild>
                        <w:div w:id="5444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艾薇cc/收支处/长春/PBC</dc:creator>
  <cp:lastModifiedBy>艾薇cc/收支处/长春/PBC</cp:lastModifiedBy>
  <cp:revision>2</cp:revision>
  <dcterms:created xsi:type="dcterms:W3CDTF">2018-09-14T08:16:00Z</dcterms:created>
  <dcterms:modified xsi:type="dcterms:W3CDTF">2018-09-14T08:16:00Z</dcterms:modified>
</cp:coreProperties>
</file>