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 xml:space="preserve">000171112005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7"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政策性银行、全国性商业银行以外其他银行总行（含外国银行分行）人民币与外汇衍生产品业务市场准入审批</w:t>
      </w:r>
      <w:r>
        <w:rPr>
          <w:rFonts w:ascii="Times New Roman" w:hAnsi="Times New Roman" w:eastAsia="黑体" w:cs="Times New Roman"/>
          <w:sz w:val="52"/>
          <w:szCs w:val="52"/>
        </w:rPr>
        <w:t>”行政审批服务指南</w:t>
      </w:r>
    </w:p>
    <w:p>
      <w:pPr>
        <w:ind w:right="300"/>
        <w:jc w:val="both"/>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w:t>
      </w:r>
      <w:bookmarkStart w:id="0" w:name="_GoBack"/>
      <w:bookmarkEnd w:id="0"/>
      <w:r>
        <w:rPr>
          <w:rFonts w:hint="eastAsia" w:ascii="Times New Roman" w:hAnsi="Times New Roman" w:eastAsia="仿宋_GB2312" w:cs="Times New Roman"/>
          <w:sz w:val="30"/>
          <w:szCs w:val="30"/>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政策性银行、全国性商业银行以外其他银行总行（含外国银行分行）人民币与外汇衍生产品业务市场准入审批【000171112005】</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政策性银行、全国性商业银行以外其他银行总行（含外国银行分行）人民币与外汇衍生产品业务市场准入审批（00017111200501）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rPr>
        <w:t>政策性银行、全国性商业银行以外其他银行总行（含外国银行分行）人民币与外汇衍生产品业务市场准入审批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《银行办理结售汇业务管理办法》（中国人民银行令2014年2号）第二条、第三条</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《银行办理结售汇业务管理办法实施细则》（汇发〔2014〕53号文印发）第七条、第十条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2"/>
          <w:sz w:val="30"/>
          <w:szCs w:val="30"/>
        </w:rPr>
        <w:t>取得即期结售汇业务资格。</w:t>
      </w:r>
    </w:p>
    <w:p>
      <w:pPr>
        <w:pStyle w:val="13"/>
        <w:widowControl w:val="0"/>
        <w:adjustRightInd w:val="0"/>
        <w:snapToGrid w:val="0"/>
        <w:spacing w:before="0" w:beforeAutospacing="0" w:after="0" w:afterAutospacing="0" w:line="360" w:lineRule="auto"/>
        <w:ind w:firstLine="600" w:firstLineChars="200"/>
        <w:jc w:val="both"/>
        <w:rPr>
          <w:rFonts w:ascii="Times New Roman" w:hAnsi="Times New Roman" w:eastAsia="仿宋_GB2312" w:cs="Times New Roman"/>
          <w:sz w:val="30"/>
          <w:szCs w:val="30"/>
        </w:rPr>
      </w:pPr>
      <w:r>
        <w:rPr>
          <w:rFonts w:ascii="Times New Roman" w:hAnsi="Times New Roman" w:eastAsia="仿宋_GB2312" w:cs="Times New Roman"/>
          <w:sz w:val="30"/>
          <w:szCs w:val="30"/>
        </w:rPr>
        <w:t>2.有健全的衍生产品交易风险管理制度和内部控制制度及适当的风险识别、计量、管理和交易系统，配备开展衍生产品业务所需要的专业人员。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3.符合银行业监督管理部门有关金融衍生产品交易业务资格的规定。</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960"/>
        <w:gridCol w:w="457"/>
        <w:gridCol w:w="851"/>
        <w:gridCol w:w="2977"/>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97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6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申请报告、可行性报告及业务计划书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b/>
                <w:bCs/>
                <w:kern w:val="44"/>
                <w:sz w:val="24"/>
                <w:szCs w:val="24"/>
              </w:rPr>
            </w:pPr>
          </w:p>
        </w:tc>
        <w:tc>
          <w:tcPr>
            <w:tcW w:w="1064"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衍生产品业务内部管理规章制度</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应当至少包括以下内容：</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1．业务操作规程，包括交易受理、客户评估、单证审核等业务流程和操作标准；2．产品定价模型，包括定价方法和各项参数的选取标准及来源；</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3．风险管理制度，包括风险管理架构、风险模型指标及量化管理指标、风险缓释措施、头寸平盘机制；</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4．会计核算制度，包括科目设置和会计核算方法；</w:t>
            </w:r>
          </w:p>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5．统计报告制度，包括数据采集渠道和操作程序。</w:t>
            </w:r>
          </w:p>
        </w:tc>
        <w:tc>
          <w:tcPr>
            <w:tcW w:w="106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银行应当根据拟开办各类衍生产品业务的实际特征，提交具有针对性与适用性的文件和资料。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主管人员和主要交易人员名单、履历</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符合银行业监督管理部门有关金融衍生产品交易业务资格规定的证明文件</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2977" w:type="dxa"/>
            <w:vAlign w:val="center"/>
          </w:tcPr>
          <w:p>
            <w:pPr>
              <w:jc w:val="center"/>
              <w:rPr>
                <w:rFonts w:ascii="Times New Roman" w:hAnsi="Times New Roman" w:eastAsia="仿宋_GB2312" w:cs="Times New Roman"/>
                <w:b/>
                <w:bCs/>
                <w:kern w:val="44"/>
                <w:sz w:val="24"/>
                <w:szCs w:val="24"/>
              </w:rPr>
            </w:pPr>
          </w:p>
        </w:tc>
        <w:tc>
          <w:tcPr>
            <w:tcW w:w="1064" w:type="dxa"/>
            <w:vAlign w:val="center"/>
          </w:tcPr>
          <w:p>
            <w:pPr>
              <w:jc w:val="center"/>
              <w:rPr>
                <w:rFonts w:ascii="Times New Roman" w:hAnsi="Times New Roman" w:eastAsia="仿宋_GB2312" w:cs="Times New Roman"/>
                <w:b/>
                <w:bCs/>
                <w:kern w:val="44"/>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批准文件或备案通知书</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adjustRightInd w:val="0"/>
        <w:snapToGrid w:val="0"/>
        <w:spacing w:line="360" w:lineRule="auto"/>
        <w:ind w:firstLine="601"/>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向注册所在地外汇局进行咨询、办理进程查询、监督和投诉等，可通过国家外汇管理局官方互联网站www.safe.gov.cn链接至江苏</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申请材料不完全符合规定，例如符合银行业监督管理部门有关金融衍生产品交易业务资格规定的证明文件未加盖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firstLine="600"/>
        <w:rPr>
          <w:rFonts w:ascii="Times New Roman" w:hAnsi="Times New Roman" w:eastAsia="黑体" w:cs="Times New Roman"/>
          <w:sz w:val="30"/>
          <w:szCs w:val="30"/>
        </w:rPr>
      </w:pP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cs="Times New Roman"/>
        </w:rPr>
      </w:pPr>
      <w:r>
        <w:rPr>
          <w:rFonts w:ascii="Times New Roman" w:hAnsi="Times New Roman" w:cs="Times New Roman"/>
        </w:rPr>
        <w:pict>
          <v:group id="Group 423" o:spid="_x0000_s1027" o:spt="203" style="position:absolute;left:0pt;margin-left:-39.65pt;margin-top:29.1pt;height:433.75pt;width:459.7pt;z-index:251659264;mso-width-relative:page;mso-height-relative:page;" coordorigin="1007,3270" coordsize="9194,8675">
            <o:lock v:ext="edit" aspectratio="f"/>
            <v:shape id="Straight Connector 424" o:spid="_x0000_s1028" o:spt="32" type="#_x0000_t32" style="position:absolute;left:2612;top:4693;height:1468;width:17;" filled="f" stroked="t" coordsize="21600,21600">
              <v:path arrowok="t"/>
              <v:fill on="f" focussize="0,0"/>
              <v:stroke color="#000000" endarrow="block"/>
              <v:imagedata o:title=""/>
              <o:lock v:ext="edit" aspectratio="f"/>
            </v:shape>
            <v:shape id="Straight Connector 425" o:spid="_x0000_s1029" o:spt="32" type="#_x0000_t32" style="position:absolute;left:3667;top:5789;height:0;width:1172;" filled="f" stroked="t" coordsize="21600,21600">
              <v:path arrowok="t"/>
              <v:fill on="f" focussize="0,0"/>
              <v:stroke color="#000000" endarrow="block"/>
              <v:imagedata o:title=""/>
              <o:lock v:ext="edit" aspectratio="f"/>
            </v:shape>
            <v:shape id="Straight Connector 426" o:spid="_x0000_s1030" o:spt="32" type="#_x0000_t32" style="position:absolute;left:3667;top:6593;height:0;width:1172;" filled="f" stroked="t" coordsize="21600,21600">
              <v:path arrowok="t"/>
              <v:fill on="f" focussize="0,0"/>
              <v:stroke color="#000000" endarrow="block"/>
              <v:imagedata o:title=""/>
              <o:lock v:ext="edit" aspectratio="f"/>
            </v:shape>
            <v:shape id="Straight Connector 427" o:spid="_x0000_s1031" o:spt="32" type="#_x0000_t32" style="position:absolute;left:8191;top:4642;flip:y;height:895;width:1;" filled="f" stroked="t" coordsize="21600,21600">
              <v:path arrowok="t"/>
              <v:fill on="f" focussize="0,0"/>
              <v:stroke color="#000000" endarrow="block"/>
              <v:imagedata o:title=""/>
              <o:lock v:ext="edit" aspectratio="f"/>
            </v:shape>
            <v:shape id="Straight Connector 428" o:spid="_x0000_s1032" o:spt="32" type="#_x0000_t32" style="position:absolute;left:2629;top:4981;flip:x;height:1;width:4643;" filled="f" stroked="t" coordsize="21600,21600">
              <v:path arrowok="t"/>
              <v:fill on="f" focussize="0,0"/>
              <v:stroke color="#000000" endarrow="block"/>
              <v:imagedata o:title=""/>
              <o:lock v:ext="edit" aspectratio="f"/>
            </v:shape>
            <v:shape id="Straight Connector 429" o:spid="_x0000_s1033" o:spt="32" type="#_x0000_t32" style="position:absolute;left:5392;top:8652;height:437;width:0;" filled="f" stroked="t" coordsize="21600,21600">
              <v:path arrowok="t"/>
              <v:fill on="f" focussize="0,0"/>
              <v:stroke color="#000000" endarrow="block"/>
              <v:imagedata o:title=""/>
              <o:lock v:ext="edit" aspectratio="f"/>
            </v:shape>
            <v:shape id="Straight Connector 430" o:spid="_x0000_s1034" o:spt="32" type="#_x0000_t32" style="position:absolute;left:6547;top:9623;height:905;width:17;" filled="f" stroked="t" coordsize="21600,21600">
              <v:path arrowok="t"/>
              <v:fill on="f" focussize="0,0"/>
              <v:stroke color="#000000" endarrow="block"/>
              <v:imagedata o:title=""/>
              <o:lock v:ext="edit" aspectratio="f"/>
            </v:shape>
            <v:shape id="Straight Connector 431" o:spid="_x0000_s1035" o:spt="32" type="#_x0000_t32" style="position:absolute;left:4432;top:9623;height:905;width:1;" filled="f" stroked="t" coordsize="21600,21600">
              <v:path arrowok="t"/>
              <v:fill on="f" focussize="0,0"/>
              <v:stroke color="#000000" endarrow="block"/>
              <v:imagedata o:title=""/>
              <o:lock v:ext="edit" aspectratio="f"/>
            </v:shape>
            <v:shape id="Straight Connector 432" o:spid="_x0000_s1036" o:spt="32" type="#_x0000_t32" style="position:absolute;left:2612;top:6826;height:1391;width:0;" filled="f" stroked="t" coordsize="21600,21600">
              <v:path arrowok="t"/>
              <v:fill on="f" focussize="0,0"/>
              <v:stroke color="#000000"/>
              <v:imagedata o:title=""/>
              <o:lock v:ext="edit" aspectratio="f"/>
            </v:shape>
            <v:shape id="Straight Connector 433" o:spid="_x0000_s1037" o:spt="32" type="#_x0000_t32" style="position:absolute;left:2612;top:8217;height:0;width:822;" filled="f" stroked="t" coordsize="21600,21600">
              <v:path arrowok="t"/>
              <v:fill on="f" focussize="0,0"/>
              <v:stroke color="#000000" endarrow="block"/>
              <v:imagedata o:title=""/>
              <o:lock v:ext="edit" aspectratio="f"/>
            </v:shape>
            <v:shape id="Flowchart: Decision 434" o:spid="_x0000_s1038" o:spt="110" type="#_x0000_t110" style="position:absolute;left:1007;top:5267;height:1889;width:3274;" fillcolor="#FFFFFF" filled="t" stroked="t" coordsize="21600,21600">
              <v:path/>
              <v:fill on="t" color2="#FFFFFF" focussize="0,0"/>
              <v:stroke color="#000000" joinstyle="miter"/>
              <v:imagedata o:title=""/>
              <o:lock v:ext="edit" aspectratio="f"/>
              <v:textbox>
                <w:txbxContent>
                  <w:p>
                    <w:r>
                      <w:rPr>
                        <w:rFonts w:hint="eastAsia"/>
                      </w:rPr>
                      <w:t>接件并当场（或5个工作日）作出是否受理决定</w:t>
                    </w:r>
                  </w:p>
                  <w:p/>
                </w:txbxContent>
              </v:textbox>
            </v:shape>
            <v:rect id="Rectangle 435" o:spid="_x0000_s1039" o:spt="1" style="position:absolute;left:7272;top:4470;height:796;width:2094;" fillcolor="#FFFFFF" filled="t" stroked="t" coordsize="21600,21600">
              <v:path/>
              <v:fill on="t" color2="#FFFFFF" focussize="0,0"/>
              <v:stroke color="#000000" joinstyle="miter"/>
              <v:imagedata o:title=""/>
              <o:lock v:ext="edit" aspectratio="f"/>
              <v:textbox>
                <w:txbxContent>
                  <w:p>
                    <w:pPr>
                      <w:jc w:val="center"/>
                    </w:pPr>
                    <w:r>
                      <w:rPr>
                        <w:rFonts w:hint="eastAsia"/>
                      </w:rPr>
                      <w:t>申请人补全材料</w:t>
                    </w:r>
                  </w:p>
                  <w:p/>
                </w:txbxContent>
              </v:textbox>
            </v:rect>
            <v:rect id="Rectangle 436" o:spid="_x0000_s1040" o:spt="1" style="position:absolute;left:4839;top:5537;height:500;width:5362;" fillcolor="#FFFFFF" filled="t" stroked="t" coordsize="21600,21600">
              <v:path/>
              <v:fill on="t" color2="#FFFFFF"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437" o:spid="_x0000_s1041" o:spt="1" style="position:absolute;left:4839;top:6389;height:906;width:5362;" fillcolor="#FFFFFF" filled="t" stroked="t" coordsize="21600,21600">
              <v:path/>
              <v:fill on="t" color2="#FFFFFF"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438" o:spid="_x0000_s1042" o:spt="1" style="position:absolute;left:3433;top:8049;height:603;width:4104;" fillcolor="#FFFFFF" filled="t" stroked="t" coordsize="21600,21600">
              <v:path/>
              <v:fill on="t" color2="#FFFFFF" focussize="0,0"/>
              <v:stroke color="#000000" joinstyle="miter"/>
              <v:imagedata o:title=""/>
              <o:lock v:ext="edit" aspectratio="f"/>
              <v:textbox>
                <w:txbxContent>
                  <w:p>
                    <w:pPr>
                      <w:jc w:val="center"/>
                    </w:pPr>
                    <w:r>
                      <w:rPr>
                        <w:rFonts w:hint="eastAsia"/>
                      </w:rPr>
                      <w:t>依法应予受理，出具受理单</w:t>
                    </w:r>
                  </w:p>
                  <w:p/>
                </w:txbxContent>
              </v:textbox>
            </v:rect>
            <v:rect id="Rectangle 439" o:spid="_x0000_s1043" o:spt="1" style="position:absolute;left:3434;top:9089;height:534;width:4252;" fillcolor="#FFFFFF" filled="t" stroked="t" coordsize="21600,21600">
              <v:path/>
              <v:fill on="t" color2="#FFFFFF" focussize="0,0"/>
              <v:stroke color="#000000" joinstyle="miter"/>
              <v:imagedata o:title=""/>
              <o:lock v:ext="edit" aspectratio="f"/>
              <v:textbox>
                <w:txbxContent>
                  <w:p>
                    <w:pPr>
                      <w:jc w:val="center"/>
                    </w:pPr>
                    <w:r>
                      <w:rPr>
                        <w:rFonts w:hint="eastAsia"/>
                      </w:rPr>
                      <w:t>审查报批</w:t>
                    </w:r>
                  </w:p>
                  <w:p/>
                </w:txbxContent>
              </v:textbox>
            </v:rect>
            <v:rect id="Rectangle 440" o:spid="_x0000_s1044" o:spt="1" style="position:absolute;left:1771;top:3270;height:1423;width:2894;" fillcolor="#FFFFFF" filled="t" stroked="t" coordsize="21600,21600">
              <v:path/>
              <v:fill on="t" color2="#FFFFFF"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441" o:spid="_x0000_s1045" o:spt="1" style="position:absolute;left:3433;top:10528;height:1417;width:1747;" fillcolor="#FFFFFF" filled="t" stroked="t" coordsize="21600,21600">
              <v:path/>
              <v:fill on="t" color2="#FFFFFF" focussize="0,0"/>
              <v:stroke color="#000000" joinstyle="miter"/>
              <v:imagedata o:title=""/>
              <o:lock v:ext="edit" aspectratio="f"/>
              <v:textbox>
                <w:txbxContent>
                  <w:p>
                    <w:r>
                      <w:rPr>
                        <w:rFonts w:hint="eastAsia"/>
                      </w:rPr>
                      <w:t>予以许可，向申请人出具批准文件或备案通知书</w:t>
                    </w:r>
                  </w:p>
                  <w:p/>
                </w:txbxContent>
              </v:textbox>
            </v:rect>
            <v:rect id="Rectangle 442" o:spid="_x0000_s1046" o:spt="1" style="position:absolute;left:5790;top:10528;height:1417;width:1747;"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8</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07D1"/>
    <w:rsid w:val="00343044"/>
    <w:rsid w:val="00344107"/>
    <w:rsid w:val="00344B01"/>
    <w:rsid w:val="00353AC4"/>
    <w:rsid w:val="00356BC8"/>
    <w:rsid w:val="003616B4"/>
    <w:rsid w:val="003642BD"/>
    <w:rsid w:val="003A57B2"/>
    <w:rsid w:val="003C7132"/>
    <w:rsid w:val="003D77A5"/>
    <w:rsid w:val="003E2E47"/>
    <w:rsid w:val="003E6BF6"/>
    <w:rsid w:val="003F221D"/>
    <w:rsid w:val="003F3097"/>
    <w:rsid w:val="00402AE8"/>
    <w:rsid w:val="00405FE6"/>
    <w:rsid w:val="004105BC"/>
    <w:rsid w:val="00421C27"/>
    <w:rsid w:val="00440A1F"/>
    <w:rsid w:val="00441A2C"/>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5CA9"/>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7770E"/>
    <w:rsid w:val="00785F45"/>
    <w:rsid w:val="00791CDD"/>
    <w:rsid w:val="0079240F"/>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57D5"/>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068F6251"/>
    <w:rsid w:val="1AA648FB"/>
    <w:rsid w:val="1DED52EB"/>
    <w:rsid w:val="26CB0561"/>
    <w:rsid w:val="2AD478D0"/>
    <w:rsid w:val="2B853B65"/>
    <w:rsid w:val="34691442"/>
    <w:rsid w:val="374F0388"/>
    <w:rsid w:val="38022DE1"/>
    <w:rsid w:val="3F703737"/>
    <w:rsid w:val="45AB301D"/>
    <w:rsid w:val="4F852F6B"/>
    <w:rsid w:val="58025B5D"/>
    <w:rsid w:val="63C105A0"/>
    <w:rsid w:val="66325289"/>
    <w:rsid w:val="66D40C15"/>
    <w:rsid w:val="68022F07"/>
    <w:rsid w:val="68BE6441"/>
    <w:rsid w:val="68DC08E1"/>
    <w:rsid w:val="756E4295"/>
    <w:rsid w:val="7A3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424"/>
        <o:r id="V:Rule2" type="connector" idref="#Straight Connector 425"/>
        <o:r id="V:Rule3" type="connector" idref="#Straight Connector 426"/>
        <o:r id="V:Rule4" type="connector" idref="#Straight Connector 427"/>
        <o:r id="V:Rule5" type="connector" idref="#Straight Connector 428"/>
        <o:r id="V:Rule6" type="connector" idref="#Straight Connector 429"/>
        <o:r id="V:Rule7" type="connector" idref="#Straight Connector 430"/>
        <o:r id="V:Rule8" type="connector" idref="#Straight Connector 431"/>
        <o:r id="V:Rule9" type="connector" idref="#Straight Connector 432"/>
        <o:r id="V:Rule10" type="connector" idref="#Straight Connector 4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377</Words>
  <Characters>2152</Characters>
  <Lines>17</Lines>
  <Paragraphs>5</Paragraphs>
  <TotalTime>1</TotalTime>
  <ScaleCrop>false</ScaleCrop>
  <LinksUpToDate>false</LinksUpToDate>
  <CharactersWithSpaces>2524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吴晓梅</cp:lastModifiedBy>
  <cp:lastPrinted>2017-11-24T00:22:00Z</cp:lastPrinted>
  <dcterms:modified xsi:type="dcterms:W3CDTF">2023-08-23T07:17:14Z</dcterms:modified>
  <dc:title>编号：57013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