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42" w:rsidRDefault="00825142">
      <w:pPr>
        <w:tabs>
          <w:tab w:val="right" w:pos="8505"/>
        </w:tabs>
        <w:snapToGrid w:val="0"/>
        <w:spacing w:line="500" w:lineRule="atLeast"/>
        <w:jc w:val="center"/>
        <w:rPr>
          <w:rFonts w:ascii="方正小标宋_GBK" w:eastAsia="方正小标宋_GBK" w:hint="eastAsia"/>
          <w:sz w:val="40"/>
        </w:rPr>
      </w:pPr>
      <w:bookmarkStart w:id="0" w:name="TTitle_1"/>
      <w:bookmarkEnd w:id="0"/>
      <w:r>
        <w:rPr>
          <w:rFonts w:ascii="方正小标宋_GBK" w:eastAsia="方正小标宋_GBK" w:hint="eastAsia"/>
          <w:spacing w:val="-8"/>
          <w:sz w:val="40"/>
        </w:rPr>
        <w:t>关于进一步加强个人分拆结售汇管理的通</w:t>
      </w:r>
      <w:r>
        <w:rPr>
          <w:rFonts w:ascii="方正小标宋_GBK" w:eastAsia="方正小标宋_GBK" w:hint="eastAsia"/>
          <w:sz w:val="40"/>
        </w:rPr>
        <w:t>知</w:t>
      </w:r>
    </w:p>
    <w:p w:rsidR="00825142" w:rsidRDefault="00825142">
      <w:pPr>
        <w:tabs>
          <w:tab w:val="right" w:pos="8505"/>
        </w:tabs>
        <w:rPr>
          <w:rFonts w:ascii="仿宋_GB2312" w:eastAsia="文鼎小标宋" w:hint="eastAsia"/>
          <w:b/>
        </w:rPr>
      </w:pPr>
    </w:p>
    <w:p w:rsidR="00825142" w:rsidRDefault="00825142">
      <w:pPr>
        <w:tabs>
          <w:tab w:val="right" w:pos="8505"/>
        </w:tabs>
        <w:rPr>
          <w:rFonts w:ascii="仿宋_GB2312" w:hint="eastAsia"/>
          <w:b/>
        </w:rPr>
      </w:pPr>
      <w:bookmarkStart w:id="1" w:name="TSendTo_1"/>
      <w:bookmarkEnd w:id="1"/>
      <w:r>
        <w:rPr>
          <w:rFonts w:ascii="仿宋_GB2312" w:hint="eastAsia"/>
          <w:b/>
        </w:rPr>
        <w:t>国家外汇管理局江苏省各市中心支局，江苏省各省级中资外汇指定银行，江苏银行，南京银行，上海银行南京分行，宁波银行南京分行，浙江稠州商业银行南京分行，徽商银行南京分行，北京银行南京分行，杭州银行南京分行，渣打银行南京分行，恒生银行南京分行，东亚银行南京分行，首都银行（中国）有限公司，汇丰银行南京分行，花旗银行南京分行：</w:t>
      </w:r>
    </w:p>
    <w:p w:rsidR="00825142" w:rsidRDefault="00825142">
      <w:pPr>
        <w:tabs>
          <w:tab w:val="right" w:pos="8505"/>
        </w:tabs>
        <w:ind w:firstLine="624"/>
        <w:rPr>
          <w:rFonts w:ascii="仿宋_GB2312"/>
          <w:b/>
        </w:rPr>
      </w:pPr>
      <w:bookmarkStart w:id="2" w:name="zw"/>
      <w:bookmarkEnd w:id="2"/>
      <w:r>
        <w:rPr>
          <w:rFonts w:ascii="仿宋_GB2312" w:hint="eastAsia"/>
          <w:b/>
        </w:rPr>
        <w:t>江苏地区自试行“个人分拆结汇关注名单”以来，取得了较好成效。为进一步提高监管针对性，统一管理要求，根据总局《国家外汇管理局关于进一步完善个人结售汇业务管理的通知》（汇发〔</w:t>
      </w:r>
      <w:r>
        <w:rPr>
          <w:rFonts w:ascii="仿宋_GB2312"/>
          <w:b/>
        </w:rPr>
        <w:t>2009</w:t>
      </w:r>
      <w:r>
        <w:rPr>
          <w:rFonts w:ascii="仿宋_GB2312" w:hint="eastAsia"/>
          <w:b/>
        </w:rPr>
        <w:t>〕</w:t>
      </w:r>
      <w:r>
        <w:rPr>
          <w:rFonts w:ascii="仿宋_GB2312"/>
          <w:b/>
        </w:rPr>
        <w:t>56</w:t>
      </w:r>
      <w:r>
        <w:rPr>
          <w:rFonts w:ascii="仿宋_GB2312" w:hint="eastAsia"/>
          <w:b/>
        </w:rPr>
        <w:t>号，以下简称《通知》）精神，现提出以下要求，请遵照执行：</w:t>
      </w:r>
    </w:p>
    <w:p w:rsidR="00825142" w:rsidRDefault="00825142">
      <w:pPr>
        <w:tabs>
          <w:tab w:val="right" w:pos="8505"/>
        </w:tabs>
        <w:ind w:firstLine="624"/>
        <w:rPr>
          <w:rFonts w:ascii="仿宋_GB2312"/>
          <w:b/>
        </w:rPr>
      </w:pPr>
      <w:r>
        <w:rPr>
          <w:rFonts w:ascii="仿宋_GB2312" w:hint="eastAsia"/>
          <w:b/>
        </w:rPr>
        <w:t>一、分局将根据《通知》要求的分拆特征，定期产生《个人分拆结售汇情况核查名单》（以下简称《核查名单》，详见附件</w:t>
      </w:r>
      <w:r>
        <w:rPr>
          <w:rFonts w:ascii="仿宋_GB2312"/>
          <w:b/>
        </w:rPr>
        <w:t>1</w:t>
      </w:r>
      <w:r>
        <w:rPr>
          <w:rFonts w:ascii="仿宋_GB2312" w:hint="eastAsia"/>
          <w:b/>
        </w:rPr>
        <w:t>），并于每月</w:t>
      </w:r>
      <w:r>
        <w:rPr>
          <w:rFonts w:ascii="仿宋_GB2312"/>
          <w:b/>
        </w:rPr>
        <w:t>10</w:t>
      </w:r>
      <w:r>
        <w:rPr>
          <w:rFonts w:ascii="仿宋_GB2312" w:hint="eastAsia"/>
          <w:b/>
        </w:rPr>
        <w:t>号前发布至“外汇账户信息交互平台”。</w:t>
      </w:r>
    </w:p>
    <w:p w:rsidR="00825142" w:rsidRDefault="00825142">
      <w:pPr>
        <w:tabs>
          <w:tab w:val="right" w:pos="8505"/>
        </w:tabs>
        <w:ind w:firstLine="624"/>
        <w:rPr>
          <w:rFonts w:ascii="仿宋_GB2312"/>
          <w:b/>
        </w:rPr>
      </w:pPr>
      <w:r>
        <w:rPr>
          <w:rFonts w:ascii="仿宋_GB2312" w:hint="eastAsia"/>
          <w:b/>
        </w:rPr>
        <w:t>二、各省级外汇指定银行应根据分局提供的跟踪线索对辖区境内收款人的资金结汇情况进行逐笔核查，并于每月</w:t>
      </w:r>
      <w:r>
        <w:rPr>
          <w:rFonts w:ascii="仿宋_GB2312"/>
          <w:b/>
        </w:rPr>
        <w:t>20</w:t>
      </w:r>
      <w:r>
        <w:rPr>
          <w:rFonts w:ascii="仿宋_GB2312" w:hint="eastAsia"/>
          <w:b/>
        </w:rPr>
        <w:t>号前向我分局报送《个人分拆结售汇情况跟踪名单反馈表》（以下简称《反馈表》，详见附件</w:t>
      </w:r>
      <w:r>
        <w:rPr>
          <w:rFonts w:ascii="仿宋_GB2312"/>
          <w:b/>
        </w:rPr>
        <w:t>2</w:t>
      </w:r>
      <w:r>
        <w:rPr>
          <w:rFonts w:ascii="仿宋_GB2312" w:hint="eastAsia"/>
          <w:b/>
        </w:rPr>
        <w:t>）。</w:t>
      </w:r>
    </w:p>
    <w:p w:rsidR="00825142" w:rsidRDefault="00825142">
      <w:pPr>
        <w:tabs>
          <w:tab w:val="right" w:pos="8505"/>
        </w:tabs>
        <w:ind w:firstLine="624"/>
        <w:rPr>
          <w:rFonts w:ascii="仿宋_GB2312"/>
          <w:b/>
        </w:rPr>
      </w:pPr>
      <w:r>
        <w:rPr>
          <w:rFonts w:ascii="仿宋_GB2312" w:hint="eastAsia"/>
          <w:b/>
        </w:rPr>
        <w:t>三、各中心支局应监督辖区银行机构对《核查名单》所列主体在当地的分拆、资金汇集和转移情况进行跟踪核查，如有异常，应于每月</w:t>
      </w:r>
      <w:r>
        <w:rPr>
          <w:rFonts w:ascii="仿宋_GB2312"/>
          <w:b/>
        </w:rPr>
        <w:t>20</w:t>
      </w:r>
      <w:r>
        <w:rPr>
          <w:rFonts w:ascii="仿宋_GB2312" w:hint="eastAsia"/>
          <w:b/>
        </w:rPr>
        <w:t>号前向我分局报送《反馈表》。</w:t>
      </w:r>
    </w:p>
    <w:p w:rsidR="00825142" w:rsidRDefault="00825142">
      <w:pPr>
        <w:tabs>
          <w:tab w:val="right" w:pos="8505"/>
        </w:tabs>
        <w:ind w:firstLine="624"/>
        <w:rPr>
          <w:rFonts w:ascii="仿宋_GB2312"/>
          <w:b/>
        </w:rPr>
      </w:pPr>
      <w:r>
        <w:rPr>
          <w:rFonts w:ascii="仿宋_GB2312" w:hint="eastAsia"/>
          <w:b/>
        </w:rPr>
        <w:t>四、我分局将根据核查情况定期整理更新《异常交易主体关注名单》（以下简称《关注名单》），并于每月</w:t>
      </w:r>
      <w:r>
        <w:rPr>
          <w:rFonts w:ascii="仿宋_GB2312"/>
          <w:b/>
        </w:rPr>
        <w:t>15</w:t>
      </w:r>
      <w:r>
        <w:rPr>
          <w:rFonts w:ascii="仿宋_GB2312" w:hint="eastAsia"/>
          <w:b/>
        </w:rPr>
        <w:t>号前发布至“外</w:t>
      </w:r>
      <w:r>
        <w:rPr>
          <w:rFonts w:ascii="仿宋_GB2312" w:hint="eastAsia"/>
          <w:b/>
        </w:rPr>
        <w:lastRenderedPageBreak/>
        <w:t>汇账户信息交互平台”。名单所列示的交易主体，已经具备《通知》第一条所列示的分拆结售汇特征。各银行对于名单所列主体的外汇收入项下的结售汇业务，应严格按照《通知》第二条规定执行。</w:t>
      </w:r>
    </w:p>
    <w:p w:rsidR="00825142" w:rsidRDefault="00825142">
      <w:pPr>
        <w:tabs>
          <w:tab w:val="right" w:pos="8505"/>
        </w:tabs>
        <w:ind w:firstLine="624"/>
        <w:rPr>
          <w:rFonts w:ascii="仿宋_GB2312"/>
          <w:b/>
        </w:rPr>
      </w:pPr>
      <w:r>
        <w:rPr>
          <w:rFonts w:ascii="仿宋_GB2312" w:hint="eastAsia"/>
          <w:b/>
        </w:rPr>
        <w:t>五、外汇指定银行如发现《通知》未列明的个人分拆结售汇及其他涉及个人交易的异常行为，应按照《通知》要求及时以书面的形式向所在地外汇局报告。</w:t>
      </w:r>
    </w:p>
    <w:p w:rsidR="00825142" w:rsidRDefault="00825142">
      <w:pPr>
        <w:tabs>
          <w:tab w:val="right" w:pos="8505"/>
        </w:tabs>
        <w:ind w:firstLine="624"/>
        <w:rPr>
          <w:rFonts w:ascii="仿宋_GB2312"/>
          <w:b/>
        </w:rPr>
      </w:pPr>
      <w:r>
        <w:rPr>
          <w:rFonts w:ascii="仿宋_GB2312" w:hint="eastAsia"/>
          <w:b/>
        </w:rPr>
        <w:t>六、我分局将就《通知》的执行情况，定期或不定期地开展现场核查，并将外汇指定银行执行《通知》和《关注名单》情况纳入综合考核内容。外汇指定银行在执行中如遇问题，请及时向我分局反馈。联系人：王宁；联系电话：</w:t>
      </w:r>
      <w:r>
        <w:rPr>
          <w:rFonts w:ascii="仿宋_GB2312"/>
          <w:b/>
        </w:rPr>
        <w:t>025</w:t>
      </w:r>
      <w:r>
        <w:rPr>
          <w:rFonts w:ascii="仿宋_GB2312" w:hint="eastAsia"/>
          <w:b/>
        </w:rPr>
        <w:t>－</w:t>
      </w:r>
      <w:r>
        <w:rPr>
          <w:rFonts w:ascii="仿宋_GB2312"/>
          <w:b/>
        </w:rPr>
        <w:t>84790451</w:t>
      </w:r>
      <w:r>
        <w:rPr>
          <w:rFonts w:ascii="仿宋_GB2312" w:hint="eastAsia"/>
          <w:b/>
        </w:rPr>
        <w:t>。</w:t>
      </w:r>
    </w:p>
    <w:p w:rsidR="00825142" w:rsidRDefault="00825142">
      <w:pPr>
        <w:tabs>
          <w:tab w:val="right" w:pos="8505"/>
        </w:tabs>
        <w:rPr>
          <w:rFonts w:ascii="仿宋_GB2312" w:hint="eastAsia"/>
          <w:b/>
        </w:rPr>
      </w:pPr>
    </w:p>
    <w:p w:rsidR="00825142" w:rsidRDefault="00825142">
      <w:pPr>
        <w:ind w:firstLine="645"/>
        <w:rPr>
          <w:rFonts w:ascii="仿宋_GB2312" w:hAnsi="Courier New" w:hint="eastAsia"/>
          <w:b/>
        </w:rPr>
      </w:pPr>
      <w:r>
        <w:rPr>
          <w:rFonts w:ascii="仿宋_GB2312" w:hint="eastAsia"/>
          <w:b/>
        </w:rPr>
        <w:t>附件：1</w:t>
      </w:r>
      <w:r>
        <w:rPr>
          <w:rFonts w:ascii="仿宋_GB2312" w:hAnsi="Courier New" w:hint="eastAsia"/>
          <w:b/>
        </w:rPr>
        <w:t>．</w:t>
      </w:r>
      <w:bookmarkStart w:id="3" w:name="TAttachment_1"/>
      <w:bookmarkEnd w:id="3"/>
      <w:r>
        <w:rPr>
          <w:rFonts w:ascii="仿宋_GB2312" w:hAnsi="Courier New" w:hint="eastAsia"/>
          <w:b/>
        </w:rPr>
        <w:t>个人分拆结售汇情况核查名单</w:t>
      </w:r>
    </w:p>
    <w:p w:rsidR="00825142" w:rsidRDefault="00825142">
      <w:pPr>
        <w:ind w:firstLineChars="500" w:firstLine="1585"/>
        <w:rPr>
          <w:rFonts w:ascii="仿宋_GB2312" w:hint="eastAsia"/>
          <w:b/>
        </w:rPr>
      </w:pPr>
      <w:r>
        <w:rPr>
          <w:rFonts w:ascii="仿宋_GB2312" w:hAnsi="Courier New" w:hint="eastAsia"/>
          <w:b/>
        </w:rPr>
        <w:t>2．个人分拆结售汇情况跟踪名单反馈表</w:t>
      </w:r>
    </w:p>
    <w:p w:rsidR="00825142" w:rsidRDefault="00825142">
      <w:pPr>
        <w:ind w:firstLine="1588"/>
        <w:rPr>
          <w:rFonts w:ascii="仿宋_GB2312" w:hint="eastAsia"/>
          <w:b/>
        </w:rPr>
      </w:pPr>
    </w:p>
    <w:p w:rsidR="00825142" w:rsidRDefault="00825142">
      <w:pPr>
        <w:ind w:right="1284"/>
        <w:jc w:val="right"/>
        <w:rPr>
          <w:rFonts w:ascii="仿宋_GB2312" w:hint="eastAsia"/>
          <w:b/>
        </w:rPr>
      </w:pPr>
      <w:bookmarkStart w:id="4" w:name="TCSignYear"/>
      <w:bookmarkEnd w:id="4"/>
      <w:r>
        <w:rPr>
          <w:rFonts w:ascii="仿宋_GB2312" w:hint="eastAsia"/>
          <w:b/>
        </w:rPr>
        <w:t>二○</w:t>
      </w:r>
      <w:smartTag w:uri="urn:schemas-microsoft-com:office:smarttags" w:element="chsdate">
        <w:smartTagPr>
          <w:attr w:name="Year" w:val="2011"/>
          <w:attr w:name="Month" w:val="8"/>
          <w:attr w:name="Day" w:val="22"/>
          <w:attr w:name="IsLunarDate" w:val="False"/>
          <w:attr w:name="IsROCDate" w:val="False"/>
        </w:smartTagPr>
        <w:r>
          <w:rPr>
            <w:rFonts w:ascii="仿宋_GB2312" w:hint="eastAsia"/>
            <w:b/>
          </w:rPr>
          <w:t>一一年</w:t>
        </w:r>
        <w:bookmarkStart w:id="5" w:name="TCSignMonth"/>
        <w:bookmarkEnd w:id="5"/>
        <w:r>
          <w:rPr>
            <w:rFonts w:ascii="仿宋_GB2312" w:hint="eastAsia"/>
            <w:b/>
          </w:rPr>
          <w:t>八月</w:t>
        </w:r>
        <w:bookmarkStart w:id="6" w:name="TCSignDay"/>
        <w:bookmarkEnd w:id="6"/>
        <w:r>
          <w:rPr>
            <w:rFonts w:ascii="仿宋_GB2312" w:hint="eastAsia"/>
            <w:b/>
          </w:rPr>
          <w:t>二十二日</w:t>
        </w:r>
      </w:smartTag>
    </w:p>
    <w:p w:rsidR="00825142" w:rsidRDefault="00825142">
      <w:pPr>
        <w:pStyle w:val="20"/>
      </w:pPr>
    </w:p>
    <w:p w:rsidR="00825142" w:rsidRDefault="00825142">
      <w:pPr>
        <w:pStyle w:val="20"/>
      </w:pPr>
    </w:p>
    <w:p w:rsidR="00825142" w:rsidRDefault="00825142">
      <w:pPr>
        <w:pStyle w:val="20"/>
      </w:pPr>
    </w:p>
    <w:p w:rsidR="00825142" w:rsidRDefault="00825142">
      <w:pPr>
        <w:pStyle w:val="20"/>
      </w:pPr>
    </w:p>
    <w:p w:rsidR="00825142" w:rsidRDefault="00825142">
      <w:pPr>
        <w:pStyle w:val="20"/>
      </w:pPr>
    </w:p>
    <w:p w:rsidR="00825142" w:rsidRDefault="00825142">
      <w:pPr>
        <w:pStyle w:val="20"/>
        <w:rPr>
          <w:rFonts w:hint="eastAsia"/>
        </w:rPr>
      </w:pPr>
    </w:p>
    <w:p w:rsidR="00825142" w:rsidRDefault="00825142">
      <w:pPr>
        <w:pStyle w:val="20"/>
        <w:rPr>
          <w:rFonts w:hint="eastAsia"/>
        </w:rPr>
      </w:pPr>
    </w:p>
    <w:p w:rsidR="00825142" w:rsidRDefault="00825142">
      <w:pPr>
        <w:pStyle w:val="20"/>
        <w:rPr>
          <w:rFonts w:hint="eastAsia"/>
        </w:rPr>
      </w:pPr>
    </w:p>
    <w:p w:rsidR="00825142" w:rsidRDefault="00825142">
      <w:pPr>
        <w:pStyle w:val="20"/>
        <w:rPr>
          <w:rFonts w:hint="eastAsia"/>
        </w:rPr>
      </w:pPr>
    </w:p>
    <w:p w:rsidR="00825142" w:rsidRDefault="00825142">
      <w:pPr>
        <w:rPr>
          <w:rFonts w:ascii="仿宋_GB2312"/>
          <w:b/>
        </w:rPr>
      </w:pPr>
      <w:bookmarkStart w:id="7" w:name="fjnr"/>
      <w:bookmarkEnd w:id="7"/>
      <w:r>
        <w:rPr>
          <w:rFonts w:ascii="仿宋_GB2312" w:hint="eastAsia"/>
          <w:b/>
        </w:rPr>
        <w:lastRenderedPageBreak/>
        <w:t>附件</w:t>
      </w:r>
      <w:r>
        <w:rPr>
          <w:rFonts w:ascii="仿宋_GB2312"/>
          <w:b/>
        </w:rPr>
        <w:t>1</w:t>
      </w:r>
    </w:p>
    <w:p w:rsidR="00825142" w:rsidRDefault="00825142">
      <w:pPr>
        <w:snapToGrid w:val="0"/>
        <w:jc w:val="center"/>
        <w:rPr>
          <w:rFonts w:ascii="仿宋_GB2312" w:hint="eastAsia"/>
          <w:b/>
        </w:rPr>
      </w:pPr>
    </w:p>
    <w:p w:rsidR="00825142" w:rsidRDefault="00825142">
      <w:pPr>
        <w:jc w:val="center"/>
        <w:rPr>
          <w:rFonts w:ascii="方正小标宋_GBK" w:eastAsia="方正小标宋_GBK"/>
          <w:bCs/>
          <w:sz w:val="36"/>
        </w:rPr>
      </w:pPr>
      <w:r>
        <w:rPr>
          <w:rFonts w:ascii="方正小标宋_GBK" w:eastAsia="方正小标宋_GBK" w:hint="eastAsia"/>
          <w:bCs/>
          <w:sz w:val="36"/>
        </w:rPr>
        <w:t>个人分拆结售汇情况核查名单</w:t>
      </w:r>
    </w:p>
    <w:tbl>
      <w:tblPr>
        <w:tblW w:w="5000" w:type="pct"/>
        <w:jc w:val="center"/>
        <w:tblLayout w:type="fixed"/>
        <w:tblCellMar>
          <w:left w:w="28" w:type="dxa"/>
          <w:right w:w="28" w:type="dxa"/>
        </w:tblCellMar>
        <w:tblLook w:val="00A0"/>
      </w:tblPr>
      <w:tblGrid>
        <w:gridCol w:w="1359"/>
        <w:gridCol w:w="1672"/>
        <w:gridCol w:w="1478"/>
        <w:gridCol w:w="824"/>
        <w:gridCol w:w="1401"/>
        <w:gridCol w:w="981"/>
        <w:gridCol w:w="1185"/>
      </w:tblGrid>
      <w:tr w:rsidR="00825142">
        <w:trPr>
          <w:trHeight w:val="786"/>
          <w:jc w:val="center"/>
        </w:trPr>
        <w:tc>
          <w:tcPr>
            <w:tcW w:w="763" w:type="pct"/>
            <w:tcBorders>
              <w:top w:val="single" w:sz="4" w:space="0" w:color="auto"/>
              <w:left w:val="single" w:sz="4" w:space="0" w:color="auto"/>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r>
              <w:rPr>
                <w:rFonts w:ascii="宋体" w:eastAsia="宋体" w:hAnsi="宋体" w:cs="宋体" w:hint="eastAsia"/>
                <w:b/>
                <w:bCs/>
                <w:color w:val="000000"/>
                <w:kern w:val="0"/>
                <w:sz w:val="20"/>
              </w:rPr>
              <w:t>境外收付款人</w:t>
            </w:r>
          </w:p>
        </w:tc>
        <w:tc>
          <w:tcPr>
            <w:tcW w:w="939" w:type="pct"/>
            <w:tcBorders>
              <w:top w:val="single" w:sz="4" w:space="0" w:color="auto"/>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r>
              <w:rPr>
                <w:rFonts w:ascii="宋体" w:eastAsia="宋体" w:hAnsi="宋体" w:cs="宋体" w:hint="eastAsia"/>
                <w:b/>
                <w:bCs/>
                <w:color w:val="000000"/>
                <w:kern w:val="0"/>
                <w:sz w:val="20"/>
              </w:rPr>
              <w:t>境内收付款（结售汇）人姓名</w:t>
            </w:r>
          </w:p>
        </w:tc>
        <w:tc>
          <w:tcPr>
            <w:tcW w:w="830" w:type="pct"/>
            <w:tcBorders>
              <w:top w:val="single" w:sz="4" w:space="0" w:color="auto"/>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r>
              <w:rPr>
                <w:rFonts w:ascii="宋体" w:eastAsia="宋体" w:hAnsi="宋体" w:cs="宋体" w:hint="eastAsia"/>
                <w:b/>
                <w:bCs/>
                <w:color w:val="000000"/>
                <w:kern w:val="0"/>
                <w:sz w:val="20"/>
              </w:rPr>
              <w:t>境内收付款（结售汇）人证件号</w:t>
            </w:r>
          </w:p>
        </w:tc>
        <w:tc>
          <w:tcPr>
            <w:tcW w:w="463" w:type="pct"/>
            <w:tcBorders>
              <w:top w:val="single" w:sz="4" w:space="0" w:color="auto"/>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r>
              <w:rPr>
                <w:rFonts w:ascii="宋体" w:eastAsia="宋体" w:hAnsi="宋体" w:cs="宋体" w:hint="eastAsia"/>
                <w:b/>
                <w:bCs/>
                <w:color w:val="000000"/>
                <w:kern w:val="0"/>
                <w:sz w:val="20"/>
              </w:rPr>
              <w:t>外汇交易时间</w:t>
            </w:r>
          </w:p>
        </w:tc>
        <w:tc>
          <w:tcPr>
            <w:tcW w:w="787" w:type="pct"/>
            <w:tcBorders>
              <w:top w:val="single" w:sz="4" w:space="0" w:color="auto"/>
              <w:left w:val="nil"/>
              <w:bottom w:val="single" w:sz="4" w:space="0" w:color="auto"/>
              <w:right w:val="single" w:sz="4" w:space="0" w:color="auto"/>
            </w:tcBorders>
            <w:vAlign w:val="center"/>
          </w:tcPr>
          <w:p w:rsidR="00825142" w:rsidRDefault="00825142">
            <w:pPr>
              <w:widowControl/>
              <w:spacing w:line="240" w:lineRule="exact"/>
              <w:jc w:val="center"/>
              <w:rPr>
                <w:rFonts w:ascii="宋体" w:eastAsia="宋体" w:hAnsi="宋体"/>
                <w:b/>
                <w:bCs/>
                <w:color w:val="000000"/>
                <w:kern w:val="0"/>
                <w:sz w:val="20"/>
              </w:rPr>
            </w:pPr>
            <w:r>
              <w:rPr>
                <w:rFonts w:ascii="宋体" w:eastAsia="宋体" w:hAnsi="宋体" w:cs="宋体" w:hint="eastAsia"/>
                <w:b/>
                <w:bCs/>
                <w:color w:val="000000"/>
                <w:kern w:val="0"/>
                <w:sz w:val="20"/>
              </w:rPr>
              <w:t>外汇交易内容</w:t>
            </w:r>
          </w:p>
        </w:tc>
        <w:tc>
          <w:tcPr>
            <w:tcW w:w="551" w:type="pct"/>
            <w:tcBorders>
              <w:top w:val="single" w:sz="4" w:space="0" w:color="auto"/>
              <w:left w:val="single" w:sz="4" w:space="0" w:color="auto"/>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r>
              <w:rPr>
                <w:rFonts w:ascii="宋体" w:eastAsia="宋体" w:hAnsi="宋体" w:cs="宋体" w:hint="eastAsia"/>
                <w:b/>
                <w:bCs/>
                <w:color w:val="000000"/>
                <w:kern w:val="0"/>
                <w:sz w:val="20"/>
              </w:rPr>
              <w:t>银行代码</w:t>
            </w:r>
          </w:p>
        </w:tc>
        <w:tc>
          <w:tcPr>
            <w:tcW w:w="666" w:type="pct"/>
            <w:tcBorders>
              <w:top w:val="single" w:sz="4" w:space="0" w:color="auto"/>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r>
              <w:rPr>
                <w:rFonts w:ascii="宋体" w:eastAsia="宋体" w:hAnsi="宋体" w:cs="宋体" w:hint="eastAsia"/>
                <w:b/>
                <w:bCs/>
                <w:color w:val="000000"/>
                <w:kern w:val="0"/>
                <w:sz w:val="20"/>
              </w:rPr>
              <w:t>金额（美元）</w:t>
            </w:r>
          </w:p>
        </w:tc>
      </w:tr>
      <w:tr w:rsidR="00825142">
        <w:trPr>
          <w:trHeight w:val="567"/>
          <w:jc w:val="center"/>
        </w:trPr>
        <w:tc>
          <w:tcPr>
            <w:tcW w:w="763" w:type="pct"/>
            <w:tcBorders>
              <w:top w:val="nil"/>
              <w:left w:val="single" w:sz="4" w:space="0" w:color="auto"/>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939"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830"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463"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787" w:type="pct"/>
            <w:tcBorders>
              <w:top w:val="nil"/>
              <w:left w:val="nil"/>
              <w:bottom w:val="single" w:sz="4" w:space="0" w:color="auto"/>
              <w:right w:val="single" w:sz="4" w:space="0" w:color="auto"/>
            </w:tcBorders>
            <w:vAlign w:val="center"/>
          </w:tcPr>
          <w:p w:rsidR="00825142" w:rsidRDefault="00825142">
            <w:pPr>
              <w:widowControl/>
              <w:spacing w:line="240" w:lineRule="exact"/>
              <w:jc w:val="center"/>
              <w:rPr>
                <w:rFonts w:ascii="宋体" w:eastAsia="宋体" w:hAnsi="宋体"/>
                <w:b/>
                <w:bCs/>
                <w:color w:val="000000"/>
                <w:kern w:val="0"/>
                <w:sz w:val="20"/>
              </w:rPr>
            </w:pPr>
          </w:p>
        </w:tc>
        <w:tc>
          <w:tcPr>
            <w:tcW w:w="551" w:type="pct"/>
            <w:tcBorders>
              <w:top w:val="nil"/>
              <w:left w:val="single" w:sz="4" w:space="0" w:color="auto"/>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666"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r>
      <w:tr w:rsidR="00825142">
        <w:trPr>
          <w:trHeight w:val="567"/>
          <w:jc w:val="center"/>
        </w:trPr>
        <w:tc>
          <w:tcPr>
            <w:tcW w:w="763" w:type="pct"/>
            <w:tcBorders>
              <w:top w:val="nil"/>
              <w:left w:val="single" w:sz="4" w:space="0" w:color="auto"/>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939"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830"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463"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787" w:type="pct"/>
            <w:tcBorders>
              <w:top w:val="nil"/>
              <w:left w:val="nil"/>
              <w:bottom w:val="single" w:sz="4" w:space="0" w:color="auto"/>
              <w:right w:val="single" w:sz="4" w:space="0" w:color="auto"/>
            </w:tcBorders>
            <w:vAlign w:val="center"/>
          </w:tcPr>
          <w:p w:rsidR="00825142" w:rsidRDefault="00825142">
            <w:pPr>
              <w:widowControl/>
              <w:spacing w:line="240" w:lineRule="exact"/>
              <w:jc w:val="center"/>
              <w:rPr>
                <w:rFonts w:ascii="宋体" w:eastAsia="宋体" w:hAnsi="宋体"/>
                <w:b/>
                <w:bCs/>
                <w:color w:val="000000"/>
                <w:kern w:val="0"/>
                <w:sz w:val="20"/>
              </w:rPr>
            </w:pPr>
          </w:p>
        </w:tc>
        <w:tc>
          <w:tcPr>
            <w:tcW w:w="551" w:type="pct"/>
            <w:tcBorders>
              <w:top w:val="nil"/>
              <w:left w:val="single" w:sz="4" w:space="0" w:color="auto"/>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666"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r>
      <w:tr w:rsidR="00825142">
        <w:trPr>
          <w:trHeight w:val="567"/>
          <w:jc w:val="center"/>
        </w:trPr>
        <w:tc>
          <w:tcPr>
            <w:tcW w:w="763" w:type="pct"/>
            <w:tcBorders>
              <w:top w:val="nil"/>
              <w:left w:val="single" w:sz="4" w:space="0" w:color="auto"/>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939"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830"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463"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787" w:type="pct"/>
            <w:tcBorders>
              <w:top w:val="nil"/>
              <w:left w:val="nil"/>
              <w:bottom w:val="single" w:sz="4" w:space="0" w:color="auto"/>
              <w:right w:val="single" w:sz="4" w:space="0" w:color="auto"/>
            </w:tcBorders>
            <w:vAlign w:val="center"/>
          </w:tcPr>
          <w:p w:rsidR="00825142" w:rsidRDefault="00825142">
            <w:pPr>
              <w:widowControl/>
              <w:spacing w:line="240" w:lineRule="exact"/>
              <w:jc w:val="center"/>
              <w:rPr>
                <w:rFonts w:ascii="宋体" w:eastAsia="宋体" w:hAnsi="宋体"/>
                <w:b/>
                <w:bCs/>
                <w:color w:val="000000"/>
                <w:kern w:val="0"/>
                <w:sz w:val="20"/>
              </w:rPr>
            </w:pPr>
          </w:p>
        </w:tc>
        <w:tc>
          <w:tcPr>
            <w:tcW w:w="551" w:type="pct"/>
            <w:tcBorders>
              <w:top w:val="nil"/>
              <w:left w:val="single" w:sz="4" w:space="0" w:color="auto"/>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666"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r>
    </w:tbl>
    <w:p w:rsidR="00825142" w:rsidRDefault="00825142">
      <w:pPr>
        <w:rPr>
          <w:rFonts w:hint="eastAsia"/>
        </w:rPr>
      </w:pPr>
    </w:p>
    <w:p w:rsidR="00825142" w:rsidRDefault="00825142">
      <w:pPr>
        <w:rPr>
          <w:rFonts w:hint="eastAsia"/>
        </w:rPr>
      </w:pPr>
    </w:p>
    <w:p w:rsidR="00825142" w:rsidRDefault="00825142">
      <w:pPr>
        <w:snapToGrid w:val="0"/>
        <w:rPr>
          <w:rFonts w:hint="eastAsia"/>
          <w:sz w:val="24"/>
        </w:rPr>
      </w:pPr>
    </w:p>
    <w:p w:rsidR="00825142" w:rsidRDefault="00825142">
      <w:pPr>
        <w:rPr>
          <w:rFonts w:ascii="仿宋_GB2312"/>
          <w:b/>
        </w:rPr>
      </w:pPr>
      <w:r>
        <w:rPr>
          <w:rFonts w:ascii="仿宋_GB2312" w:hint="eastAsia"/>
          <w:b/>
        </w:rPr>
        <w:t>附件</w:t>
      </w:r>
      <w:r>
        <w:rPr>
          <w:rFonts w:ascii="仿宋_GB2312"/>
          <w:b/>
        </w:rPr>
        <w:t>2</w:t>
      </w:r>
    </w:p>
    <w:p w:rsidR="00825142" w:rsidRDefault="00825142">
      <w:pPr>
        <w:snapToGrid w:val="0"/>
        <w:rPr>
          <w:rFonts w:hint="eastAsia"/>
          <w:sz w:val="24"/>
        </w:rPr>
      </w:pPr>
    </w:p>
    <w:p w:rsidR="00825142" w:rsidRDefault="00825142">
      <w:pPr>
        <w:jc w:val="center"/>
        <w:rPr>
          <w:rFonts w:ascii="方正小标宋_GBK" w:eastAsia="方正小标宋_GBK"/>
          <w:bCs/>
          <w:sz w:val="36"/>
        </w:rPr>
      </w:pPr>
      <w:r>
        <w:rPr>
          <w:rFonts w:ascii="方正小标宋_GBK" w:eastAsia="方正小标宋_GBK" w:hint="eastAsia"/>
          <w:bCs/>
          <w:sz w:val="36"/>
        </w:rPr>
        <w:t>个人分拆结售汇情况跟踪名单反馈表</w:t>
      </w:r>
    </w:p>
    <w:tbl>
      <w:tblPr>
        <w:tblW w:w="4967" w:type="pct"/>
        <w:jc w:val="center"/>
        <w:tblLayout w:type="fixed"/>
        <w:tblCellMar>
          <w:left w:w="28" w:type="dxa"/>
          <w:right w:w="28" w:type="dxa"/>
        </w:tblCellMar>
        <w:tblLook w:val="00A0"/>
      </w:tblPr>
      <w:tblGrid>
        <w:gridCol w:w="708"/>
        <w:gridCol w:w="807"/>
        <w:gridCol w:w="826"/>
        <w:gridCol w:w="736"/>
        <w:gridCol w:w="759"/>
        <w:gridCol w:w="721"/>
        <w:gridCol w:w="601"/>
        <w:gridCol w:w="902"/>
        <w:gridCol w:w="995"/>
        <w:gridCol w:w="1195"/>
        <w:gridCol w:w="591"/>
      </w:tblGrid>
      <w:tr w:rsidR="00825142">
        <w:trPr>
          <w:trHeight w:val="896"/>
          <w:jc w:val="center"/>
        </w:trPr>
        <w:tc>
          <w:tcPr>
            <w:tcW w:w="400" w:type="pct"/>
            <w:tcBorders>
              <w:top w:val="single" w:sz="4" w:space="0" w:color="auto"/>
              <w:left w:val="single" w:sz="4" w:space="0" w:color="auto"/>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r>
              <w:rPr>
                <w:rFonts w:ascii="宋体" w:eastAsia="宋体" w:hAnsi="宋体" w:cs="宋体" w:hint="eastAsia"/>
                <w:b/>
                <w:bCs/>
                <w:color w:val="000000"/>
                <w:kern w:val="0"/>
                <w:sz w:val="20"/>
              </w:rPr>
              <w:t>境外收付款人</w:t>
            </w:r>
          </w:p>
        </w:tc>
        <w:tc>
          <w:tcPr>
            <w:tcW w:w="456" w:type="pct"/>
            <w:tcBorders>
              <w:top w:val="single" w:sz="4" w:space="0" w:color="auto"/>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r>
              <w:rPr>
                <w:rFonts w:ascii="宋体" w:eastAsia="宋体" w:hAnsi="宋体" w:cs="宋体" w:hint="eastAsia"/>
                <w:b/>
                <w:bCs/>
                <w:color w:val="000000"/>
                <w:kern w:val="0"/>
                <w:sz w:val="20"/>
              </w:rPr>
              <w:t>境内收付款人姓名</w:t>
            </w:r>
          </w:p>
        </w:tc>
        <w:tc>
          <w:tcPr>
            <w:tcW w:w="467" w:type="pct"/>
            <w:tcBorders>
              <w:top w:val="single" w:sz="4" w:space="0" w:color="auto"/>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r>
              <w:rPr>
                <w:rFonts w:ascii="宋体" w:eastAsia="宋体" w:hAnsi="宋体" w:cs="宋体" w:hint="eastAsia"/>
                <w:b/>
                <w:bCs/>
                <w:color w:val="000000"/>
                <w:kern w:val="0"/>
                <w:sz w:val="20"/>
              </w:rPr>
              <w:t>境内收付款人证件号</w:t>
            </w:r>
          </w:p>
        </w:tc>
        <w:tc>
          <w:tcPr>
            <w:tcW w:w="416" w:type="pct"/>
            <w:tcBorders>
              <w:top w:val="single" w:sz="4" w:space="0" w:color="auto"/>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r>
              <w:rPr>
                <w:rFonts w:ascii="宋体" w:eastAsia="宋体" w:hAnsi="宋体" w:cs="宋体" w:hint="eastAsia"/>
                <w:b/>
                <w:bCs/>
                <w:color w:val="000000"/>
                <w:kern w:val="0"/>
                <w:sz w:val="20"/>
              </w:rPr>
              <w:t>外汇交易时间</w:t>
            </w:r>
          </w:p>
        </w:tc>
        <w:tc>
          <w:tcPr>
            <w:tcW w:w="429" w:type="pct"/>
            <w:tcBorders>
              <w:top w:val="single" w:sz="4" w:space="0" w:color="auto"/>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r>
              <w:rPr>
                <w:rFonts w:ascii="宋体" w:eastAsia="宋体" w:hAnsi="宋体" w:cs="宋体" w:hint="eastAsia"/>
                <w:b/>
                <w:bCs/>
                <w:color w:val="000000"/>
                <w:kern w:val="0"/>
                <w:sz w:val="20"/>
              </w:rPr>
              <w:t>外汇交易内容</w:t>
            </w:r>
          </w:p>
        </w:tc>
        <w:tc>
          <w:tcPr>
            <w:tcW w:w="408" w:type="pct"/>
            <w:tcBorders>
              <w:top w:val="single" w:sz="4" w:space="0" w:color="auto"/>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r>
              <w:rPr>
                <w:rFonts w:ascii="宋体" w:eastAsia="宋体" w:hAnsi="宋体" w:cs="宋体" w:hint="eastAsia"/>
                <w:b/>
                <w:bCs/>
                <w:color w:val="000000"/>
                <w:kern w:val="0"/>
                <w:sz w:val="20"/>
              </w:rPr>
              <w:t>外汇交易方式</w:t>
            </w:r>
          </w:p>
        </w:tc>
        <w:tc>
          <w:tcPr>
            <w:tcW w:w="340" w:type="pct"/>
            <w:tcBorders>
              <w:top w:val="single" w:sz="4" w:space="0" w:color="auto"/>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r>
              <w:rPr>
                <w:rFonts w:ascii="宋体" w:eastAsia="宋体" w:hAnsi="宋体" w:cs="宋体" w:hint="eastAsia"/>
                <w:b/>
                <w:bCs/>
                <w:color w:val="000000"/>
                <w:kern w:val="0"/>
                <w:sz w:val="20"/>
              </w:rPr>
              <w:t>银行代码</w:t>
            </w:r>
          </w:p>
        </w:tc>
        <w:tc>
          <w:tcPr>
            <w:tcW w:w="510" w:type="pct"/>
            <w:tcBorders>
              <w:top w:val="single" w:sz="4" w:space="0" w:color="auto"/>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cs="宋体" w:hint="eastAsia"/>
                <w:b/>
                <w:bCs/>
                <w:color w:val="000000"/>
                <w:kern w:val="0"/>
                <w:sz w:val="20"/>
              </w:rPr>
            </w:pPr>
            <w:r>
              <w:rPr>
                <w:rFonts w:ascii="宋体" w:eastAsia="宋体" w:hAnsi="宋体" w:cs="宋体" w:hint="eastAsia"/>
                <w:b/>
                <w:bCs/>
                <w:color w:val="000000"/>
                <w:kern w:val="0"/>
                <w:sz w:val="20"/>
              </w:rPr>
              <w:t>结售汇金额</w:t>
            </w:r>
          </w:p>
          <w:p w:rsidR="00825142" w:rsidRDefault="00825142">
            <w:pPr>
              <w:widowControl/>
              <w:spacing w:line="240" w:lineRule="exact"/>
              <w:jc w:val="center"/>
              <w:rPr>
                <w:rFonts w:ascii="宋体" w:eastAsia="宋体" w:hAnsi="宋体"/>
                <w:b/>
                <w:bCs/>
                <w:color w:val="000000"/>
                <w:kern w:val="0"/>
                <w:sz w:val="20"/>
              </w:rPr>
            </w:pPr>
            <w:r>
              <w:rPr>
                <w:rFonts w:ascii="宋体" w:eastAsia="宋体" w:hAnsi="宋体" w:cs="宋体" w:hint="eastAsia"/>
                <w:b/>
                <w:bCs/>
                <w:color w:val="000000"/>
                <w:kern w:val="0"/>
                <w:sz w:val="20"/>
              </w:rPr>
              <w:t>（美元）</w:t>
            </w:r>
          </w:p>
        </w:tc>
        <w:tc>
          <w:tcPr>
            <w:tcW w:w="563" w:type="pct"/>
            <w:tcBorders>
              <w:top w:val="single" w:sz="4" w:space="0" w:color="auto"/>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r>
              <w:rPr>
                <w:rFonts w:ascii="宋体" w:eastAsia="宋体" w:hAnsi="宋体" w:cs="宋体" w:hint="eastAsia"/>
                <w:b/>
                <w:bCs/>
                <w:color w:val="000000"/>
                <w:kern w:val="0"/>
                <w:sz w:val="20"/>
              </w:rPr>
              <w:t>外汇划转交易对方</w:t>
            </w:r>
          </w:p>
        </w:tc>
        <w:tc>
          <w:tcPr>
            <w:tcW w:w="676" w:type="pct"/>
            <w:tcBorders>
              <w:top w:val="single" w:sz="4" w:space="0" w:color="auto"/>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r>
              <w:rPr>
                <w:rFonts w:ascii="宋体" w:eastAsia="宋体" w:hAnsi="宋体" w:cs="宋体" w:hint="eastAsia"/>
                <w:b/>
                <w:bCs/>
                <w:color w:val="000000"/>
                <w:kern w:val="0"/>
                <w:sz w:val="20"/>
              </w:rPr>
              <w:t>人民币来源或去向</w:t>
            </w:r>
          </w:p>
        </w:tc>
        <w:tc>
          <w:tcPr>
            <w:tcW w:w="334" w:type="pct"/>
            <w:tcBorders>
              <w:top w:val="single" w:sz="4" w:space="0" w:color="auto"/>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r>
              <w:rPr>
                <w:rFonts w:ascii="宋体" w:eastAsia="宋体" w:hAnsi="宋体" w:cs="宋体" w:hint="eastAsia"/>
                <w:b/>
                <w:bCs/>
                <w:color w:val="000000"/>
                <w:kern w:val="0"/>
                <w:sz w:val="20"/>
              </w:rPr>
              <w:t>备注</w:t>
            </w:r>
          </w:p>
        </w:tc>
      </w:tr>
      <w:tr w:rsidR="00825142">
        <w:trPr>
          <w:trHeight w:val="454"/>
          <w:jc w:val="center"/>
        </w:trPr>
        <w:tc>
          <w:tcPr>
            <w:tcW w:w="400" w:type="pct"/>
            <w:tcBorders>
              <w:top w:val="nil"/>
              <w:left w:val="single" w:sz="4" w:space="0" w:color="auto"/>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456"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467"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416"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429"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408"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340"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510"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563"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676"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334"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r>
      <w:tr w:rsidR="00825142">
        <w:trPr>
          <w:trHeight w:val="454"/>
          <w:jc w:val="center"/>
        </w:trPr>
        <w:tc>
          <w:tcPr>
            <w:tcW w:w="400" w:type="pct"/>
            <w:tcBorders>
              <w:top w:val="nil"/>
              <w:left w:val="single" w:sz="4" w:space="0" w:color="auto"/>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456"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467"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416"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429"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408"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340"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510"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563"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676"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334"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r>
      <w:tr w:rsidR="00825142">
        <w:trPr>
          <w:trHeight w:val="454"/>
          <w:jc w:val="center"/>
        </w:trPr>
        <w:tc>
          <w:tcPr>
            <w:tcW w:w="400" w:type="pct"/>
            <w:tcBorders>
              <w:top w:val="nil"/>
              <w:left w:val="single" w:sz="4" w:space="0" w:color="auto"/>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456"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467"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416"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429"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408"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340"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510"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563"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676"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c>
          <w:tcPr>
            <w:tcW w:w="334" w:type="pct"/>
            <w:tcBorders>
              <w:top w:val="nil"/>
              <w:left w:val="nil"/>
              <w:bottom w:val="single" w:sz="4" w:space="0" w:color="auto"/>
              <w:right w:val="single" w:sz="4" w:space="0" w:color="auto"/>
            </w:tcBorders>
            <w:noWrap/>
            <w:vAlign w:val="center"/>
          </w:tcPr>
          <w:p w:rsidR="00825142" w:rsidRDefault="00825142">
            <w:pPr>
              <w:widowControl/>
              <w:spacing w:line="240" w:lineRule="exact"/>
              <w:jc w:val="center"/>
              <w:rPr>
                <w:rFonts w:ascii="宋体" w:eastAsia="宋体" w:hAnsi="宋体"/>
                <w:b/>
                <w:bCs/>
                <w:color w:val="000000"/>
                <w:kern w:val="0"/>
                <w:sz w:val="20"/>
              </w:rPr>
            </w:pPr>
          </w:p>
        </w:tc>
      </w:tr>
    </w:tbl>
    <w:p w:rsidR="00825142" w:rsidRDefault="00825142">
      <w:pPr>
        <w:pStyle w:val="ListParagraph"/>
        <w:spacing w:line="240" w:lineRule="exact"/>
        <w:ind w:firstLineChars="0" w:firstLine="0"/>
        <w:rPr>
          <w:rFonts w:ascii="方正楷体_GBK" w:eastAsia="方正楷体_GBK" w:hAnsi="宋体" w:cs="宋体" w:hint="eastAsia"/>
          <w:b/>
          <w:bCs/>
          <w:color w:val="000000"/>
          <w:kern w:val="0"/>
          <w:sz w:val="21"/>
          <w:szCs w:val="20"/>
        </w:rPr>
      </w:pPr>
    </w:p>
    <w:p w:rsidR="00825142" w:rsidRDefault="00825142">
      <w:pPr>
        <w:pStyle w:val="ListParagraph"/>
        <w:spacing w:line="240" w:lineRule="exact"/>
        <w:ind w:firstLineChars="0" w:firstLine="0"/>
        <w:rPr>
          <w:rFonts w:ascii="方正楷体_GBK" w:eastAsia="方正楷体_GBK" w:hAnsi="宋体"/>
          <w:b/>
          <w:bCs/>
          <w:color w:val="000000"/>
          <w:kern w:val="0"/>
          <w:sz w:val="21"/>
          <w:szCs w:val="20"/>
        </w:rPr>
      </w:pPr>
      <w:r>
        <w:rPr>
          <w:rFonts w:ascii="方正楷体_GBK" w:eastAsia="方正楷体_GBK" w:hAnsi="宋体" w:cs="宋体" w:hint="eastAsia"/>
          <w:b/>
          <w:bCs/>
          <w:color w:val="000000"/>
          <w:kern w:val="0"/>
          <w:sz w:val="21"/>
          <w:szCs w:val="20"/>
        </w:rPr>
        <w:t>填报要求：</w:t>
      </w:r>
    </w:p>
    <w:p w:rsidR="00825142" w:rsidRDefault="00825142">
      <w:pPr>
        <w:pStyle w:val="ListParagraph"/>
        <w:spacing w:line="240" w:lineRule="exact"/>
        <w:ind w:firstLine="452"/>
        <w:rPr>
          <w:rFonts w:ascii="方正楷体_GBK" w:eastAsia="方正楷体_GBK" w:hAnsi="宋体"/>
          <w:b/>
          <w:bCs/>
          <w:color w:val="000000"/>
          <w:kern w:val="0"/>
          <w:sz w:val="21"/>
          <w:szCs w:val="20"/>
        </w:rPr>
      </w:pPr>
      <w:r>
        <w:rPr>
          <w:rFonts w:ascii="方正楷体_GBK" w:eastAsia="方正楷体_GBK" w:hAnsi="宋体" w:cs="宋体"/>
          <w:b/>
          <w:bCs/>
          <w:color w:val="000000"/>
          <w:kern w:val="0"/>
          <w:sz w:val="21"/>
          <w:szCs w:val="20"/>
        </w:rPr>
        <w:t>1</w:t>
      </w:r>
      <w:r>
        <w:rPr>
          <w:rFonts w:ascii="方正楷体_GBK" w:eastAsia="方正楷体_GBK" w:hAnsi="宋体" w:cs="宋体" w:hint="eastAsia"/>
          <w:b/>
          <w:bCs/>
          <w:color w:val="000000"/>
          <w:kern w:val="0"/>
          <w:sz w:val="21"/>
          <w:szCs w:val="20"/>
        </w:rPr>
        <w:t>．交易时间具体至日；</w:t>
      </w:r>
    </w:p>
    <w:p w:rsidR="00825142" w:rsidRDefault="00825142">
      <w:pPr>
        <w:pStyle w:val="ListParagraph"/>
        <w:spacing w:line="240" w:lineRule="exact"/>
        <w:ind w:firstLine="452"/>
        <w:rPr>
          <w:rFonts w:ascii="方正楷体_GBK" w:eastAsia="方正楷体_GBK" w:hAnsi="宋体"/>
          <w:b/>
          <w:bCs/>
          <w:color w:val="000000"/>
          <w:kern w:val="0"/>
          <w:sz w:val="21"/>
          <w:szCs w:val="20"/>
        </w:rPr>
      </w:pPr>
      <w:r>
        <w:rPr>
          <w:rFonts w:ascii="方正楷体_GBK" w:eastAsia="方正楷体_GBK" w:hAnsi="宋体" w:cs="宋体"/>
          <w:b/>
          <w:bCs/>
          <w:color w:val="000000"/>
          <w:kern w:val="0"/>
          <w:sz w:val="21"/>
          <w:szCs w:val="20"/>
        </w:rPr>
        <w:t>2</w:t>
      </w:r>
      <w:r>
        <w:rPr>
          <w:rFonts w:ascii="方正楷体_GBK" w:eastAsia="方正楷体_GBK" w:hAnsi="宋体" w:cs="宋体" w:hint="eastAsia"/>
          <w:b/>
          <w:bCs/>
          <w:color w:val="000000"/>
          <w:kern w:val="0"/>
          <w:sz w:val="21"/>
          <w:szCs w:val="20"/>
        </w:rPr>
        <w:t>．外汇交易内容：结汇填写“</w:t>
      </w:r>
      <w:r>
        <w:rPr>
          <w:rFonts w:ascii="方正楷体_GBK" w:eastAsia="方正楷体_GBK" w:hAnsi="宋体" w:cs="宋体"/>
          <w:b/>
          <w:bCs/>
          <w:color w:val="000000"/>
          <w:kern w:val="0"/>
          <w:sz w:val="21"/>
          <w:szCs w:val="20"/>
        </w:rPr>
        <w:t>SAL</w:t>
      </w:r>
      <w:r>
        <w:rPr>
          <w:rFonts w:ascii="方正楷体_GBK" w:eastAsia="方正楷体_GBK" w:hAnsi="宋体" w:cs="宋体" w:hint="eastAsia"/>
          <w:b/>
          <w:bCs/>
          <w:color w:val="000000"/>
          <w:kern w:val="0"/>
          <w:sz w:val="21"/>
          <w:szCs w:val="20"/>
        </w:rPr>
        <w:t>”，售汇填写“</w:t>
      </w:r>
      <w:r>
        <w:rPr>
          <w:rFonts w:ascii="方正楷体_GBK" w:eastAsia="方正楷体_GBK" w:hAnsi="宋体" w:cs="宋体"/>
          <w:b/>
          <w:bCs/>
          <w:color w:val="000000"/>
          <w:kern w:val="0"/>
          <w:sz w:val="21"/>
          <w:szCs w:val="20"/>
        </w:rPr>
        <w:t>BUY</w:t>
      </w:r>
      <w:r>
        <w:rPr>
          <w:rFonts w:ascii="方正楷体_GBK" w:eastAsia="方正楷体_GBK" w:hAnsi="宋体" w:cs="宋体" w:hint="eastAsia"/>
          <w:b/>
          <w:bCs/>
          <w:color w:val="000000"/>
          <w:kern w:val="0"/>
          <w:sz w:val="21"/>
          <w:szCs w:val="20"/>
        </w:rPr>
        <w:t>”，外汇划转填写“</w:t>
      </w:r>
      <w:r>
        <w:rPr>
          <w:rFonts w:ascii="方正楷体_GBK" w:eastAsia="方正楷体_GBK" w:hAnsi="宋体" w:cs="宋体"/>
          <w:b/>
          <w:bCs/>
          <w:color w:val="000000"/>
          <w:kern w:val="0"/>
          <w:sz w:val="21"/>
          <w:szCs w:val="20"/>
        </w:rPr>
        <w:t>TRN</w:t>
      </w:r>
      <w:r>
        <w:rPr>
          <w:rFonts w:ascii="方正楷体_GBK" w:eastAsia="方正楷体_GBK" w:hAnsi="宋体" w:cs="宋体" w:hint="eastAsia"/>
          <w:b/>
          <w:bCs/>
          <w:color w:val="000000"/>
          <w:kern w:val="0"/>
          <w:sz w:val="21"/>
          <w:szCs w:val="20"/>
        </w:rPr>
        <w:t>”，存取现填写”</w:t>
      </w:r>
      <w:r>
        <w:rPr>
          <w:rFonts w:ascii="方正楷体_GBK" w:eastAsia="方正楷体_GBK" w:hAnsi="宋体" w:cs="宋体"/>
          <w:b/>
          <w:bCs/>
          <w:color w:val="000000"/>
          <w:kern w:val="0"/>
          <w:sz w:val="21"/>
          <w:szCs w:val="20"/>
        </w:rPr>
        <w:t>CAH</w:t>
      </w:r>
      <w:r>
        <w:rPr>
          <w:rFonts w:ascii="方正楷体_GBK" w:eastAsia="方正楷体_GBK" w:hAnsi="宋体" w:cs="宋体" w:hint="eastAsia"/>
          <w:b/>
          <w:bCs/>
          <w:color w:val="000000"/>
          <w:kern w:val="0"/>
          <w:sz w:val="21"/>
          <w:szCs w:val="20"/>
        </w:rPr>
        <w:t>”，银行不予办理并原路退回填写”</w:t>
      </w:r>
      <w:r>
        <w:rPr>
          <w:rFonts w:ascii="方正楷体_GBK" w:eastAsia="方正楷体_GBK" w:hAnsi="宋体" w:cs="宋体"/>
          <w:b/>
          <w:bCs/>
          <w:color w:val="000000"/>
          <w:kern w:val="0"/>
          <w:sz w:val="21"/>
          <w:szCs w:val="20"/>
        </w:rPr>
        <w:t>WHD</w:t>
      </w:r>
      <w:r>
        <w:rPr>
          <w:rFonts w:ascii="方正楷体_GBK" w:eastAsia="方正楷体_GBK" w:hAnsi="宋体" w:cs="宋体" w:hint="eastAsia"/>
          <w:b/>
          <w:bCs/>
          <w:color w:val="000000"/>
          <w:kern w:val="0"/>
          <w:sz w:val="21"/>
          <w:szCs w:val="20"/>
        </w:rPr>
        <w:t>”，其他情况填写“</w:t>
      </w:r>
      <w:r>
        <w:rPr>
          <w:rFonts w:ascii="方正楷体_GBK" w:eastAsia="方正楷体_GBK" w:hAnsi="宋体" w:cs="宋体"/>
          <w:b/>
          <w:bCs/>
          <w:color w:val="000000"/>
          <w:kern w:val="0"/>
          <w:sz w:val="21"/>
          <w:szCs w:val="20"/>
        </w:rPr>
        <w:t>OTH</w:t>
      </w:r>
      <w:r>
        <w:rPr>
          <w:rFonts w:ascii="方正楷体_GBK" w:eastAsia="方正楷体_GBK" w:hAnsi="宋体" w:cs="宋体" w:hint="eastAsia"/>
          <w:b/>
          <w:bCs/>
          <w:color w:val="000000"/>
          <w:kern w:val="0"/>
          <w:sz w:val="21"/>
          <w:szCs w:val="20"/>
        </w:rPr>
        <w:t>”；</w:t>
      </w:r>
    </w:p>
    <w:p w:rsidR="00825142" w:rsidRDefault="00825142">
      <w:pPr>
        <w:pStyle w:val="ListParagraph"/>
        <w:spacing w:line="240" w:lineRule="exact"/>
        <w:ind w:firstLine="452"/>
        <w:rPr>
          <w:rFonts w:ascii="方正楷体_GBK" w:eastAsia="方正楷体_GBK" w:hAnsi="宋体"/>
          <w:b/>
          <w:bCs/>
          <w:color w:val="000000"/>
          <w:kern w:val="0"/>
          <w:sz w:val="21"/>
          <w:szCs w:val="20"/>
        </w:rPr>
      </w:pPr>
      <w:r>
        <w:rPr>
          <w:rFonts w:ascii="方正楷体_GBK" w:eastAsia="方正楷体_GBK" w:hAnsi="宋体" w:cs="宋体"/>
          <w:b/>
          <w:bCs/>
          <w:color w:val="000000"/>
          <w:kern w:val="0"/>
          <w:sz w:val="21"/>
          <w:szCs w:val="20"/>
        </w:rPr>
        <w:t>3</w:t>
      </w:r>
      <w:r>
        <w:rPr>
          <w:rFonts w:ascii="方正楷体_GBK" w:eastAsia="方正楷体_GBK" w:hAnsi="宋体" w:cs="宋体" w:hint="eastAsia"/>
          <w:b/>
          <w:bCs/>
          <w:color w:val="000000"/>
          <w:kern w:val="0"/>
          <w:sz w:val="21"/>
          <w:szCs w:val="20"/>
        </w:rPr>
        <w:t>．外汇交易方式：柜台办理填写“</w:t>
      </w:r>
      <w:r>
        <w:rPr>
          <w:rFonts w:ascii="方正楷体_GBK" w:eastAsia="方正楷体_GBK" w:hAnsi="宋体" w:cs="宋体"/>
          <w:b/>
          <w:bCs/>
          <w:color w:val="000000"/>
          <w:kern w:val="0"/>
          <w:sz w:val="21"/>
          <w:szCs w:val="20"/>
        </w:rPr>
        <w:t>CNT</w:t>
      </w:r>
      <w:r>
        <w:rPr>
          <w:rFonts w:ascii="方正楷体_GBK" w:eastAsia="方正楷体_GBK" w:hAnsi="宋体" w:cs="宋体" w:hint="eastAsia"/>
          <w:b/>
          <w:bCs/>
          <w:color w:val="000000"/>
          <w:kern w:val="0"/>
          <w:sz w:val="21"/>
          <w:szCs w:val="20"/>
        </w:rPr>
        <w:t>”，网上银行填写“</w:t>
      </w:r>
      <w:r>
        <w:rPr>
          <w:rFonts w:ascii="方正楷体_GBK" w:eastAsia="方正楷体_GBK" w:hAnsi="宋体" w:cs="宋体"/>
          <w:b/>
          <w:bCs/>
          <w:color w:val="000000"/>
          <w:kern w:val="0"/>
          <w:sz w:val="21"/>
          <w:szCs w:val="20"/>
        </w:rPr>
        <w:t>NET</w:t>
      </w:r>
      <w:r>
        <w:rPr>
          <w:rFonts w:ascii="方正楷体_GBK" w:eastAsia="方正楷体_GBK" w:hAnsi="宋体" w:cs="宋体" w:hint="eastAsia"/>
          <w:b/>
          <w:bCs/>
          <w:color w:val="000000"/>
          <w:kern w:val="0"/>
          <w:sz w:val="21"/>
          <w:szCs w:val="20"/>
        </w:rPr>
        <w:t>”，自助终端填写”</w:t>
      </w:r>
      <w:r>
        <w:rPr>
          <w:rFonts w:ascii="方正楷体_GBK" w:eastAsia="方正楷体_GBK" w:hAnsi="宋体" w:cs="宋体"/>
          <w:b/>
          <w:bCs/>
          <w:color w:val="000000"/>
          <w:kern w:val="0"/>
          <w:sz w:val="21"/>
          <w:szCs w:val="20"/>
        </w:rPr>
        <w:t>AUT</w:t>
      </w:r>
      <w:r>
        <w:rPr>
          <w:rFonts w:ascii="方正楷体_GBK" w:eastAsia="方正楷体_GBK" w:hAnsi="宋体" w:cs="宋体" w:hint="eastAsia"/>
          <w:b/>
          <w:bCs/>
          <w:color w:val="000000"/>
          <w:kern w:val="0"/>
          <w:sz w:val="21"/>
          <w:szCs w:val="20"/>
        </w:rPr>
        <w:t>”，电话银行填写“</w:t>
      </w:r>
      <w:r>
        <w:rPr>
          <w:rFonts w:ascii="方正楷体_GBK" w:eastAsia="方正楷体_GBK" w:hAnsi="宋体" w:cs="宋体"/>
          <w:b/>
          <w:bCs/>
          <w:color w:val="000000"/>
          <w:kern w:val="0"/>
          <w:sz w:val="21"/>
          <w:szCs w:val="20"/>
        </w:rPr>
        <w:t>TEL</w:t>
      </w:r>
      <w:r>
        <w:rPr>
          <w:rFonts w:ascii="方正楷体_GBK" w:eastAsia="方正楷体_GBK" w:hAnsi="宋体" w:cs="宋体" w:hint="eastAsia"/>
          <w:b/>
          <w:bCs/>
          <w:color w:val="000000"/>
          <w:kern w:val="0"/>
          <w:sz w:val="21"/>
          <w:szCs w:val="20"/>
        </w:rPr>
        <w:t>”，其他填写“</w:t>
      </w:r>
      <w:r>
        <w:rPr>
          <w:rFonts w:ascii="方正楷体_GBK" w:eastAsia="方正楷体_GBK" w:hAnsi="宋体" w:cs="宋体"/>
          <w:b/>
          <w:bCs/>
          <w:color w:val="000000"/>
          <w:kern w:val="0"/>
          <w:sz w:val="21"/>
          <w:szCs w:val="20"/>
        </w:rPr>
        <w:t>OTH</w:t>
      </w:r>
      <w:r>
        <w:rPr>
          <w:rFonts w:ascii="方正楷体_GBK" w:eastAsia="方正楷体_GBK" w:hAnsi="宋体" w:cs="宋体" w:hint="eastAsia"/>
          <w:b/>
          <w:bCs/>
          <w:color w:val="000000"/>
          <w:kern w:val="0"/>
          <w:sz w:val="21"/>
          <w:szCs w:val="20"/>
        </w:rPr>
        <w:t>”；</w:t>
      </w:r>
    </w:p>
    <w:p w:rsidR="00825142" w:rsidRDefault="00825142">
      <w:pPr>
        <w:pStyle w:val="ListParagraph"/>
        <w:spacing w:line="240" w:lineRule="exact"/>
        <w:ind w:firstLine="452"/>
        <w:rPr>
          <w:rFonts w:ascii="方正楷体_GBK" w:eastAsia="方正楷体_GBK" w:hAnsi="宋体"/>
          <w:b/>
          <w:bCs/>
          <w:sz w:val="21"/>
          <w:szCs w:val="20"/>
        </w:rPr>
      </w:pPr>
      <w:r>
        <w:rPr>
          <w:rFonts w:ascii="方正楷体_GBK" w:eastAsia="方正楷体_GBK" w:hAnsi="宋体" w:cs="宋体"/>
          <w:b/>
          <w:bCs/>
          <w:color w:val="000000"/>
          <w:kern w:val="0"/>
          <w:sz w:val="21"/>
          <w:szCs w:val="20"/>
        </w:rPr>
        <w:t>4</w:t>
      </w:r>
      <w:r>
        <w:rPr>
          <w:rFonts w:ascii="方正楷体_GBK" w:eastAsia="方正楷体_GBK" w:hAnsi="宋体" w:cs="宋体" w:hint="eastAsia"/>
          <w:b/>
          <w:bCs/>
          <w:color w:val="000000"/>
          <w:kern w:val="0"/>
          <w:sz w:val="21"/>
          <w:szCs w:val="20"/>
        </w:rPr>
        <w:t>．人民币来源或去向：填写结汇后人民币资金并未留存在本人账户、购汇前人民币资金从他人账户汇集的情况；</w:t>
      </w:r>
    </w:p>
    <w:p w:rsidR="00825142" w:rsidRDefault="00825142">
      <w:pPr>
        <w:pStyle w:val="ListParagraph"/>
        <w:spacing w:line="240" w:lineRule="exact"/>
        <w:ind w:firstLine="452"/>
        <w:rPr>
          <w:rFonts w:ascii="方正楷体_GBK" w:eastAsia="方正楷体_GBK" w:hAnsi="宋体" w:cs="宋体" w:hint="eastAsia"/>
          <w:b/>
          <w:bCs/>
          <w:color w:val="000000"/>
          <w:kern w:val="0"/>
          <w:sz w:val="21"/>
          <w:szCs w:val="20"/>
        </w:rPr>
      </w:pPr>
      <w:r>
        <w:rPr>
          <w:rFonts w:ascii="方正楷体_GBK" w:eastAsia="方正楷体_GBK" w:hAnsi="宋体" w:cs="宋体"/>
          <w:b/>
          <w:bCs/>
          <w:color w:val="000000"/>
          <w:kern w:val="0"/>
          <w:sz w:val="21"/>
          <w:szCs w:val="20"/>
        </w:rPr>
        <w:t>5</w:t>
      </w:r>
      <w:r>
        <w:rPr>
          <w:rFonts w:ascii="方正楷体_GBK" w:eastAsia="方正楷体_GBK" w:hAnsi="宋体" w:cs="宋体" w:hint="eastAsia"/>
          <w:b/>
          <w:bCs/>
          <w:color w:val="000000"/>
          <w:kern w:val="0"/>
          <w:sz w:val="21"/>
          <w:szCs w:val="20"/>
        </w:rPr>
        <w:t>．如交易方式或结汇方式选择“</w:t>
      </w:r>
      <w:r>
        <w:rPr>
          <w:rFonts w:ascii="方正楷体_GBK" w:eastAsia="方正楷体_GBK" w:hAnsi="宋体" w:cs="宋体"/>
          <w:b/>
          <w:bCs/>
          <w:color w:val="000000"/>
          <w:kern w:val="0"/>
          <w:sz w:val="21"/>
          <w:szCs w:val="20"/>
        </w:rPr>
        <w:t>OTH</w:t>
      </w:r>
      <w:r>
        <w:rPr>
          <w:rFonts w:ascii="方正楷体_GBK" w:eastAsia="方正楷体_GBK" w:hAnsi="宋体" w:cs="宋体" w:hint="eastAsia"/>
          <w:b/>
          <w:bCs/>
          <w:color w:val="000000"/>
          <w:kern w:val="0"/>
          <w:sz w:val="21"/>
          <w:szCs w:val="20"/>
        </w:rPr>
        <w:t>”，请在备注中说明，其他需要说明的情况也一并填写在备注栏。</w:t>
      </w:r>
    </w:p>
    <w:sectPr w:rsidR="00825142">
      <w:footerReference w:type="even" r:id="rId7"/>
      <w:footerReference w:type="default" r:id="rId8"/>
      <w:pgSz w:w="11906" w:h="16838" w:code="9"/>
      <w:pgMar w:top="2098" w:right="1531" w:bottom="1701" w:left="1531" w:header="1191" w:footer="1361" w:gutter="0"/>
      <w:cols w:space="425"/>
      <w:docGrid w:type="linesAndChars" w:linePitch="515" w:charSpace="32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3DA" w:rsidRDefault="00A413DA">
      <w:r>
        <w:separator/>
      </w:r>
    </w:p>
  </w:endnote>
  <w:endnote w:type="continuationSeparator" w:id="1">
    <w:p w:rsidR="00A413DA" w:rsidRDefault="00A41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_GBK">
    <w:altName w:val="宋体-方正超大字符集"/>
    <w:charset w:val="86"/>
    <w:family w:val="script"/>
    <w:pitch w:val="fixed"/>
    <w:sig w:usb0="00000001" w:usb1="080E0000" w:usb2="00000010" w:usb3="00000000" w:csb0="00040000" w:csb1="00000000"/>
  </w:font>
  <w:font w:name="文鼎小标宋">
    <w:altName w:val="仿宋_GB2312"/>
    <w:charset w:val="86"/>
    <w:family w:val="modern"/>
    <w:pitch w:val="fixed"/>
    <w:sig w:usb0="00000001" w:usb1="080E0000" w:usb2="00000010" w:usb3="00000000" w:csb0="00040000" w:csb1="00000000"/>
  </w:font>
  <w:font w:name="方正楷体_GBK">
    <w:altName w:val="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42" w:rsidRDefault="00825142">
    <w:pPr>
      <w:pStyle w:val="a4"/>
      <w:framePr w:w="1083" w:h="301" w:hRule="exact" w:wrap="around" w:vAnchor="text" w:hAnchor="page" w:x="1844" w:y="-29"/>
      <w:rPr>
        <w:rStyle w:val="a5"/>
        <w:sz w:val="24"/>
      </w:rPr>
    </w:pPr>
    <w:r>
      <w:rPr>
        <w:rStyle w:val="a5"/>
        <w:rFonts w:ascii="仿宋_GB2312" w:hint="eastAsia"/>
        <w:sz w:val="24"/>
      </w:rPr>
      <w:t xml:space="preserve"> —</w:t>
    </w:r>
    <w:r>
      <w:rPr>
        <w:rStyle w:val="a5"/>
        <w:rFonts w:ascii="仿宋_GB2312"/>
        <w:sz w:val="24"/>
      </w:rPr>
      <w:t xml:space="preserve"> </w:t>
    </w:r>
    <w:r>
      <w:rPr>
        <w:rStyle w:val="a5"/>
        <w:rFonts w:ascii="宋体"/>
        <w:sz w:val="24"/>
      </w:rPr>
      <w:fldChar w:fldCharType="begin"/>
    </w:r>
    <w:r>
      <w:rPr>
        <w:rStyle w:val="a5"/>
        <w:rFonts w:ascii="宋体"/>
        <w:sz w:val="24"/>
      </w:rPr>
      <w:instrText xml:space="preserve">PAGE  </w:instrText>
    </w:r>
    <w:r>
      <w:rPr>
        <w:rStyle w:val="a5"/>
        <w:rFonts w:ascii="宋体"/>
        <w:sz w:val="24"/>
      </w:rPr>
      <w:fldChar w:fldCharType="separate"/>
    </w:r>
    <w:r w:rsidR="00D10AA9">
      <w:rPr>
        <w:rStyle w:val="a5"/>
        <w:rFonts w:ascii="宋体"/>
        <w:noProof/>
        <w:sz w:val="24"/>
      </w:rPr>
      <w:t>2</w:t>
    </w:r>
    <w:r>
      <w:rPr>
        <w:rStyle w:val="a5"/>
        <w:rFonts w:ascii="宋体"/>
        <w:sz w:val="24"/>
      </w:rPr>
      <w:fldChar w:fldCharType="end"/>
    </w:r>
    <w:r>
      <w:rPr>
        <w:rStyle w:val="a5"/>
        <w:sz w:val="24"/>
      </w:rPr>
      <w:t xml:space="preserve"> </w:t>
    </w:r>
    <w:r>
      <w:rPr>
        <w:rStyle w:val="a5"/>
        <w:rFonts w:ascii="仿宋_GB2312" w:hint="eastAsia"/>
        <w:sz w:val="24"/>
      </w:rPr>
      <w:t>—</w:t>
    </w:r>
  </w:p>
  <w:p w:rsidR="00825142" w:rsidRDefault="008251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42" w:rsidRDefault="00825142">
    <w:pPr>
      <w:pStyle w:val="a4"/>
      <w:framePr w:w="1247" w:h="234" w:hRule="exact" w:wrap="around" w:vAnchor="text" w:hAnchor="page" w:x="8864" w:y="-14"/>
      <w:jc w:val="center"/>
      <w:rPr>
        <w:rStyle w:val="a5"/>
        <w:sz w:val="24"/>
      </w:rPr>
    </w:pPr>
    <w:r>
      <w:rPr>
        <w:rStyle w:val="a5"/>
        <w:rFonts w:ascii="仿宋_GB2312" w:hint="eastAsia"/>
        <w:sz w:val="24"/>
      </w:rPr>
      <w:t>—</w:t>
    </w:r>
    <w:r>
      <w:rPr>
        <w:rStyle w:val="a5"/>
        <w:rFonts w:ascii="仿宋_GB2312"/>
        <w:sz w:val="24"/>
      </w:rPr>
      <w:t xml:space="preserve"> </w:t>
    </w:r>
    <w:r>
      <w:rPr>
        <w:rStyle w:val="a5"/>
        <w:rFonts w:ascii="宋体"/>
        <w:sz w:val="24"/>
      </w:rPr>
      <w:fldChar w:fldCharType="begin"/>
    </w:r>
    <w:r>
      <w:rPr>
        <w:rStyle w:val="a5"/>
        <w:rFonts w:ascii="宋体"/>
        <w:sz w:val="24"/>
      </w:rPr>
      <w:instrText xml:space="preserve">PAGE  </w:instrText>
    </w:r>
    <w:r>
      <w:rPr>
        <w:rStyle w:val="a5"/>
        <w:rFonts w:ascii="宋体"/>
        <w:sz w:val="24"/>
      </w:rPr>
      <w:fldChar w:fldCharType="separate"/>
    </w:r>
    <w:r w:rsidR="00D10AA9">
      <w:rPr>
        <w:rStyle w:val="a5"/>
        <w:rFonts w:ascii="宋体"/>
        <w:noProof/>
        <w:sz w:val="24"/>
      </w:rPr>
      <w:t>1</w:t>
    </w:r>
    <w:r>
      <w:rPr>
        <w:rStyle w:val="a5"/>
        <w:rFonts w:ascii="宋体"/>
        <w:sz w:val="24"/>
      </w:rPr>
      <w:fldChar w:fldCharType="end"/>
    </w:r>
    <w:r>
      <w:rPr>
        <w:rStyle w:val="a5"/>
        <w:sz w:val="24"/>
      </w:rPr>
      <w:t xml:space="preserve"> </w:t>
    </w:r>
    <w:r>
      <w:rPr>
        <w:rStyle w:val="a5"/>
        <w:rFonts w:ascii="仿宋_GB2312" w:hint="eastAsia"/>
        <w:sz w:val="24"/>
      </w:rPr>
      <w:t>—</w:t>
    </w:r>
  </w:p>
  <w:p w:rsidR="00825142" w:rsidRDefault="008251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3DA" w:rsidRDefault="00A413DA">
      <w:r>
        <w:separator/>
      </w:r>
    </w:p>
  </w:footnote>
  <w:footnote w:type="continuationSeparator" w:id="1">
    <w:p w:rsidR="00A413DA" w:rsidRDefault="00A41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593"/>
    <w:multiLevelType w:val="singleLevel"/>
    <w:tmpl w:val="4B72E512"/>
    <w:lvl w:ilvl="0">
      <w:start w:val="1"/>
      <w:numFmt w:val="decimal"/>
      <w:lvlText w:val="%1、"/>
      <w:lvlJc w:val="left"/>
      <w:pPr>
        <w:tabs>
          <w:tab w:val="num" w:pos="1230"/>
        </w:tabs>
        <w:ind w:left="1230" w:hanging="495"/>
      </w:pPr>
      <w:rPr>
        <w:rFonts w:hint="eastAsia"/>
      </w:rPr>
    </w:lvl>
  </w:abstractNum>
  <w:abstractNum w:abstractNumId="1">
    <w:nsid w:val="1E9155E1"/>
    <w:multiLevelType w:val="singleLevel"/>
    <w:tmpl w:val="0409000F"/>
    <w:lvl w:ilvl="0">
      <w:start w:val="1"/>
      <w:numFmt w:val="decimal"/>
      <w:lvlText w:val="%1."/>
      <w:lvlJc w:val="left"/>
      <w:pPr>
        <w:tabs>
          <w:tab w:val="num" w:pos="425"/>
        </w:tabs>
        <w:ind w:left="425" w:hanging="425"/>
      </w:pPr>
    </w:lvl>
  </w:abstractNum>
  <w:abstractNum w:abstractNumId="2">
    <w:nsid w:val="3AE77331"/>
    <w:multiLevelType w:val="singleLevel"/>
    <w:tmpl w:val="C91E1954"/>
    <w:lvl w:ilvl="0">
      <w:start w:val="1"/>
      <w:numFmt w:val="decimal"/>
      <w:lvlText w:val="%1、"/>
      <w:lvlJc w:val="left"/>
      <w:pPr>
        <w:tabs>
          <w:tab w:val="num" w:pos="1095"/>
        </w:tabs>
        <w:ind w:left="1095" w:hanging="480"/>
      </w:pPr>
      <w:rPr>
        <w:rFonts w:ascii="楷体_GB2312" w:hint="eastAsia"/>
      </w:rPr>
    </w:lvl>
  </w:abstractNum>
  <w:abstractNum w:abstractNumId="3">
    <w:nsid w:val="43E26814"/>
    <w:multiLevelType w:val="singleLevel"/>
    <w:tmpl w:val="13CE046A"/>
    <w:lvl w:ilvl="0">
      <w:start w:val="1"/>
      <w:numFmt w:val="decimal"/>
      <w:lvlText w:val="%1、"/>
      <w:lvlJc w:val="left"/>
      <w:pPr>
        <w:tabs>
          <w:tab w:val="num" w:pos="1380"/>
        </w:tabs>
        <w:ind w:left="1380" w:hanging="720"/>
      </w:pPr>
      <w:rPr>
        <w:rFonts w:hint="eastAsia"/>
      </w:rPr>
    </w:lvl>
  </w:abstractNum>
  <w:abstractNum w:abstractNumId="4">
    <w:nsid w:val="525841C0"/>
    <w:multiLevelType w:val="singleLevel"/>
    <w:tmpl w:val="3E744D28"/>
    <w:lvl w:ilvl="0">
      <w:start w:val="1"/>
      <w:numFmt w:val="decimal"/>
      <w:lvlText w:val="%1、"/>
      <w:lvlJc w:val="left"/>
      <w:pPr>
        <w:tabs>
          <w:tab w:val="num" w:pos="1095"/>
        </w:tabs>
        <w:ind w:left="1095" w:hanging="480"/>
      </w:pPr>
      <w:rPr>
        <w:rFonts w:hint="eastAsia"/>
      </w:rPr>
    </w:lvl>
  </w:abstractNum>
  <w:abstractNum w:abstractNumId="5">
    <w:nsid w:val="541E3EA7"/>
    <w:multiLevelType w:val="singleLevel"/>
    <w:tmpl w:val="BD306F5E"/>
    <w:lvl w:ilvl="0">
      <w:start w:val="1"/>
      <w:numFmt w:val="japaneseCounting"/>
      <w:lvlText w:val="%1、"/>
      <w:lvlJc w:val="left"/>
      <w:pPr>
        <w:tabs>
          <w:tab w:val="num" w:pos="1455"/>
        </w:tabs>
        <w:ind w:left="1455" w:hanging="720"/>
      </w:pPr>
      <w:rPr>
        <w:rFonts w:hint="eastAsia"/>
      </w:rPr>
    </w:lvl>
  </w:abstractNum>
  <w:abstractNum w:abstractNumId="6">
    <w:nsid w:val="65651F0A"/>
    <w:multiLevelType w:val="singleLevel"/>
    <w:tmpl w:val="E946D2F6"/>
    <w:lvl w:ilvl="0">
      <w:start w:val="1"/>
      <w:numFmt w:val="decimal"/>
      <w:lvlText w:val="%1、"/>
      <w:lvlJc w:val="left"/>
      <w:pPr>
        <w:tabs>
          <w:tab w:val="num" w:pos="1335"/>
        </w:tabs>
        <w:ind w:left="1335" w:hanging="720"/>
      </w:pPr>
      <w:rPr>
        <w:rFonts w:hint="eastAsia"/>
      </w:rPr>
    </w:lvl>
  </w:abstractNum>
  <w:abstractNum w:abstractNumId="7">
    <w:nsid w:val="681E1869"/>
    <w:multiLevelType w:val="singleLevel"/>
    <w:tmpl w:val="5600C382"/>
    <w:lvl w:ilvl="0">
      <w:start w:val="1"/>
      <w:numFmt w:val="decimal"/>
      <w:lvlText w:val="%1、"/>
      <w:lvlJc w:val="left"/>
      <w:pPr>
        <w:tabs>
          <w:tab w:val="num" w:pos="1200"/>
        </w:tabs>
        <w:ind w:left="1200" w:hanging="465"/>
      </w:pPr>
      <w:rPr>
        <w:rFonts w:hint="eastAsia"/>
      </w:rPr>
    </w:lvl>
  </w:abstractNum>
  <w:num w:numId="1">
    <w:abstractNumId w:val="1"/>
  </w:num>
  <w:num w:numId="2">
    <w:abstractNumId w:val="5"/>
  </w:num>
  <w:num w:numId="3">
    <w:abstractNumId w:val="7"/>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attachedTemplate r:id="rId1"/>
  <w:stylePaneFormatFilter w:val="3F01"/>
  <w:defaultTabStop w:val="425"/>
  <w:evenAndOddHeaders/>
  <w:drawingGridHorizontalSpacing w:val="315"/>
  <w:drawingGridVerticalSpacing w:val="515"/>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Resoft_OriginalUserName" w:val="傅福英"/>
  </w:docVars>
  <w:rsids>
    <w:rsidRoot w:val="002F71C0"/>
    <w:rsid w:val="002F71C0"/>
    <w:rsid w:val="00442D50"/>
    <w:rsid w:val="00825142"/>
    <w:rsid w:val="00A413DA"/>
    <w:rsid w:val="00B44B28"/>
    <w:rsid w:val="00D10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宋体" w:hAnsi="Courier New"/>
    </w:rPr>
  </w:style>
  <w:style w:type="paragraph" w:styleId="a4">
    <w:name w:val="footer"/>
    <w:basedOn w:val="a"/>
    <w:pPr>
      <w:tabs>
        <w:tab w:val="center" w:pos="4153"/>
        <w:tab w:val="right" w:pos="8306"/>
      </w:tabs>
      <w:snapToGrid w:val="0"/>
      <w:jc w:val="left"/>
    </w:pPr>
    <w:rPr>
      <w:sz w:val="18"/>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a7">
    <w:name w:val="Body Text Indent"/>
    <w:basedOn w:val="a"/>
    <w:pPr>
      <w:snapToGrid w:val="0"/>
      <w:ind w:left="1260" w:hanging="1260"/>
    </w:pPr>
    <w:rPr>
      <w:rFonts w:ascii="楷体_GB2312" w:eastAsia="楷体_GB2312"/>
      <w:sz w:val="24"/>
    </w:rPr>
  </w:style>
  <w:style w:type="paragraph" w:styleId="2">
    <w:name w:val="Body Text Indent 2"/>
    <w:basedOn w:val="a"/>
    <w:pPr>
      <w:ind w:firstLine="600"/>
    </w:pPr>
    <w:rPr>
      <w:rFonts w:ascii="仿宋_GB2312"/>
    </w:rPr>
  </w:style>
  <w:style w:type="paragraph" w:styleId="a8">
    <w:name w:val="Body Text"/>
    <w:basedOn w:val="a"/>
    <w:pPr>
      <w:snapToGrid w:val="0"/>
      <w:spacing w:line="260" w:lineRule="exact"/>
    </w:pPr>
    <w:rPr>
      <w:rFonts w:eastAsia="宋体"/>
      <w:sz w:val="21"/>
    </w:rPr>
  </w:style>
  <w:style w:type="paragraph" w:styleId="a9">
    <w:name w:val="Date"/>
    <w:basedOn w:val="a"/>
    <w:next w:val="a"/>
  </w:style>
  <w:style w:type="paragraph" w:customStyle="1" w:styleId="Date">
    <w:name w:val="Date"/>
    <w:basedOn w:val="a"/>
    <w:next w:val="a"/>
    <w:pPr>
      <w:autoSpaceDE w:val="0"/>
      <w:autoSpaceDN w:val="0"/>
      <w:adjustRightInd w:val="0"/>
      <w:textAlignment w:val="baseline"/>
    </w:pPr>
    <w:rPr>
      <w:rFonts w:eastAsia="宋体"/>
    </w:rPr>
  </w:style>
  <w:style w:type="paragraph" w:styleId="20">
    <w:name w:val="Body Text 2"/>
    <w:basedOn w:val="a"/>
    <w:pPr>
      <w:tabs>
        <w:tab w:val="right" w:pos="8505"/>
      </w:tabs>
    </w:pPr>
    <w:rPr>
      <w:rFonts w:ascii="仿宋_GB2312"/>
      <w:b/>
    </w:rPr>
  </w:style>
  <w:style w:type="paragraph" w:customStyle="1" w:styleId="ListParagraph">
    <w:name w:val="List Paragraph"/>
    <w:basedOn w:val="a"/>
    <w:qFormat/>
    <w:pPr>
      <w:ind w:firstLineChars="200" w:firstLine="420"/>
    </w:pPr>
    <w:rPr>
      <w:szCs w:val="30"/>
    </w:rPr>
  </w:style>
  <w:style w:type="paragraph" w:styleId="aa">
    <w:name w:val="Balloon Text"/>
    <w:basedOn w:val="a"/>
    <w:semiHidden/>
    <w:rsid w:val="002F71C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soft\WebOA.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WebOA.dot</Template>
  <TotalTime>0</TotalTime>
  <Pages>3</Pages>
  <Words>218</Words>
  <Characters>1247</Characters>
  <Application>Microsoft Office Word</Application>
  <DocSecurity>0</DocSecurity>
  <Lines>10</Lines>
  <Paragraphs>2</Paragraphs>
  <ScaleCrop>false</ScaleCrop>
  <Company>中国人民银行办公厅</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1998年10月3日朱总理在工商银行扬州分行邗江支行白鹤储蓄所计算机盗窃案的报告上批示：这是一个信号，我们的银行家要抓电脑技术，不能落在犯罪分子的后面</dc:title>
  <dc:subject/>
  <dc:creator>WANG ZHENG</dc:creator>
  <cp:keywords/>
  <cp:lastModifiedBy>wrxn</cp:lastModifiedBy>
  <cp:revision>2</cp:revision>
  <cp:lastPrinted>2006-02-22T02:32:00Z</cp:lastPrinted>
  <dcterms:created xsi:type="dcterms:W3CDTF">2015-06-08T06:27:00Z</dcterms:created>
  <dcterms:modified xsi:type="dcterms:W3CDTF">2015-06-08T06:27:00Z</dcterms:modified>
</cp:coreProperties>
</file>