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hint="eastAsia" w:ascii="黑体" w:hAnsi="黑体" w:eastAsia="黑体" w:cs="黑体"/>
          <w:b w:val="0"/>
          <w:bCs w:val="0"/>
          <w:kern w:val="0"/>
          <w:sz w:val="36"/>
          <w:szCs w:val="36"/>
          <w:highlight w:val="none"/>
        </w:rPr>
      </w:pPr>
      <w:r>
        <w:rPr>
          <w:rFonts w:hint="eastAsia" w:ascii="黑体" w:hAnsi="黑体" w:eastAsia="黑体" w:cs="黑体"/>
          <w:b w:val="0"/>
          <w:bCs w:val="0"/>
          <w:kern w:val="0"/>
          <w:sz w:val="36"/>
          <w:szCs w:val="36"/>
          <w:highlight w:val="none"/>
        </w:rPr>
        <w:t>湖南省国际收支统计间接申报</w:t>
      </w:r>
    </w:p>
    <w:p>
      <w:pPr>
        <w:widowControl/>
        <w:spacing w:before="100" w:beforeAutospacing="1" w:after="100" w:afterAutospacing="1"/>
        <w:jc w:val="center"/>
        <w:rPr>
          <w:rFonts w:ascii="Tahoma" w:hAnsi="Tahoma" w:cs="Tahoma"/>
          <w:kern w:val="0"/>
          <w:sz w:val="30"/>
          <w:szCs w:val="30"/>
          <w:highlight w:val="none"/>
        </w:rPr>
      </w:pPr>
      <w:r>
        <w:rPr>
          <w:rFonts w:hint="eastAsia" w:ascii="黑体" w:hAnsi="黑体" w:eastAsia="黑体" w:cs="黑体"/>
          <w:b w:val="0"/>
          <w:bCs w:val="0"/>
          <w:kern w:val="0"/>
          <w:sz w:val="36"/>
          <w:szCs w:val="36"/>
          <w:highlight w:val="none"/>
        </w:rPr>
        <w:t>“不申报、不解付”管理制度</w:t>
      </w:r>
    </w:p>
    <w:p>
      <w:pPr>
        <w:widowControl/>
        <w:snapToGrid w:val="0"/>
        <w:spacing w:before="100" w:beforeAutospacing="1" w:after="100" w:afterAutospacing="1" w:line="360" w:lineRule="auto"/>
        <w:jc w:val="center"/>
        <w:rPr>
          <w:rFonts w:ascii="Tahoma" w:hAnsi="Tahoma" w:cs="Tahoma"/>
          <w:b/>
          <w:bCs/>
          <w:kern w:val="0"/>
          <w:sz w:val="30"/>
          <w:szCs w:val="30"/>
          <w:highlight w:val="none"/>
        </w:rPr>
      </w:pPr>
      <w:r>
        <w:rPr>
          <w:rFonts w:ascii="Tahoma" w:hAnsi="Tahoma" w:cs="Tahoma"/>
          <w:b/>
          <w:bCs/>
          <w:kern w:val="0"/>
          <w:sz w:val="30"/>
          <w:szCs w:val="30"/>
          <w:highlight w:val="none"/>
        </w:rPr>
        <w:t>（</w:t>
      </w:r>
      <w:r>
        <w:rPr>
          <w:rFonts w:hint="eastAsia" w:ascii="Tahoma" w:hAnsi="Tahoma" w:cs="Tahoma"/>
          <w:b/>
          <w:bCs/>
          <w:kern w:val="0"/>
          <w:sz w:val="30"/>
          <w:szCs w:val="30"/>
          <w:highlight w:val="none"/>
          <w:lang w:eastAsia="zh-CN"/>
        </w:rPr>
        <w:t>征求意见稿</w:t>
      </w:r>
      <w:r>
        <w:rPr>
          <w:rFonts w:ascii="Tahoma" w:hAnsi="Tahoma" w:cs="Tahoma"/>
          <w:b/>
          <w:bCs/>
          <w:kern w:val="0"/>
          <w:sz w:val="30"/>
          <w:szCs w:val="30"/>
          <w:highlight w:val="none"/>
        </w:rPr>
        <w:t>）</w:t>
      </w:r>
    </w:p>
    <w:p>
      <w:pPr>
        <w:widowControl/>
        <w:snapToGrid w:val="0"/>
        <w:spacing w:before="100" w:beforeAutospacing="1" w:after="100" w:afterAutospacing="1" w:line="360" w:lineRule="auto"/>
        <w:jc w:val="center"/>
        <w:rPr>
          <w:rFonts w:ascii="Tahoma" w:hAnsi="Tahoma" w:cs="Tahoma"/>
          <w:b/>
          <w:bCs/>
          <w:kern w:val="0"/>
          <w:sz w:val="30"/>
          <w:szCs w:val="30"/>
          <w:highlight w:val="none"/>
        </w:rPr>
      </w:pPr>
      <w:bookmarkStart w:id="0" w:name="_GoBack"/>
      <w:bookmarkEnd w:id="0"/>
    </w:p>
    <w:p>
      <w:pPr>
        <w:widowControl/>
        <w:snapToGrid w:val="0"/>
        <w:spacing w:before="100" w:beforeAutospacing="1" w:after="100" w:afterAutospacing="1" w:line="360" w:lineRule="auto"/>
        <w:jc w:val="center"/>
        <w:rPr>
          <w:rFonts w:hint="eastAsia" w:ascii="黑体" w:hAnsi="黑体" w:eastAsia="黑体" w:cs="黑体"/>
          <w:kern w:val="0"/>
          <w:sz w:val="30"/>
          <w:szCs w:val="30"/>
          <w:highlight w:val="none"/>
        </w:rPr>
      </w:pPr>
      <w:r>
        <w:rPr>
          <w:rFonts w:hint="eastAsia" w:ascii="黑体" w:hAnsi="黑体" w:eastAsia="黑体" w:cs="黑体"/>
          <w:kern w:val="0"/>
          <w:sz w:val="30"/>
          <w:szCs w:val="30"/>
          <w:highlight w:val="none"/>
        </w:rPr>
        <w:t>第一章 总 则</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第一条</w:t>
      </w:r>
      <w:r>
        <w:rPr>
          <w:rFonts w:hint="eastAsia" w:ascii="仿宋" w:hAnsi="仿宋" w:eastAsia="仿宋" w:cs="仿宋"/>
          <w:kern w:val="0"/>
          <w:sz w:val="30"/>
          <w:szCs w:val="30"/>
          <w:highlight w:val="none"/>
        </w:rPr>
        <w:t xml:space="preserve"> 为加强对机构申报主体通过境内银行进行国际收支统计申报业务的管理，确保国际收支统计申报相关信息及时、准确、完整，根据</w:t>
      </w:r>
      <w:r>
        <w:rPr>
          <w:rFonts w:hint="eastAsia" w:ascii="仿宋" w:hAnsi="仿宋" w:eastAsia="仿宋" w:cs="仿宋"/>
          <w:kern w:val="0"/>
          <w:sz w:val="30"/>
          <w:szCs w:val="30"/>
          <w:highlight w:val="none"/>
          <w:lang w:eastAsia="zh-CN"/>
        </w:rPr>
        <w:t>《国际收支统计申报办法》（国务院令第六百四十二</w:t>
      </w:r>
      <w:r>
        <w:rPr>
          <w:rFonts w:hint="eastAsia" w:ascii="仿宋" w:hAnsi="仿宋" w:eastAsia="仿宋" w:cs="仿宋"/>
          <w:kern w:val="0"/>
          <w:sz w:val="30"/>
          <w:szCs w:val="30"/>
          <w:highlight w:val="none"/>
          <w:lang w:val="en-US" w:eastAsia="zh-CN"/>
        </w:rPr>
        <w:t>号</w:t>
      </w:r>
      <w:r>
        <w:rPr>
          <w:rFonts w:hint="eastAsia" w:ascii="仿宋" w:hAnsi="仿宋" w:eastAsia="仿宋" w:cs="仿宋"/>
          <w:kern w:val="0"/>
          <w:sz w:val="30"/>
          <w:szCs w:val="30"/>
          <w:highlight w:val="none"/>
          <w:lang w:eastAsia="zh-CN"/>
        </w:rPr>
        <w:t>）、</w:t>
      </w:r>
      <w:r>
        <w:rPr>
          <w:rFonts w:hint="eastAsia" w:ascii="仿宋" w:hAnsi="仿宋" w:eastAsia="仿宋" w:cs="仿宋"/>
          <w:kern w:val="0"/>
          <w:sz w:val="30"/>
          <w:szCs w:val="30"/>
          <w:highlight w:val="none"/>
        </w:rPr>
        <w:t>《国家外汇管理局关于印发</w:t>
      </w:r>
      <w:r>
        <w:rPr>
          <w:rFonts w:hint="eastAsia" w:ascii="仿宋" w:hAnsi="仿宋" w:eastAsia="仿宋" w:cs="仿宋"/>
          <w:kern w:val="0"/>
          <w:sz w:val="30"/>
          <w:szCs w:val="30"/>
          <w:highlight w:val="none"/>
          <w:lang w:val="en-US" w:eastAsia="zh-CN"/>
        </w:rPr>
        <w:t>&lt;</w:t>
      </w:r>
      <w:r>
        <w:rPr>
          <w:rFonts w:hint="eastAsia" w:ascii="仿宋" w:hAnsi="仿宋" w:eastAsia="仿宋" w:cs="仿宋"/>
          <w:kern w:val="0"/>
          <w:sz w:val="30"/>
          <w:szCs w:val="30"/>
          <w:highlight w:val="none"/>
        </w:rPr>
        <w:t>通过</w:t>
      </w:r>
      <w:r>
        <w:rPr>
          <w:rFonts w:hint="eastAsia" w:ascii="仿宋" w:hAnsi="仿宋" w:eastAsia="仿宋" w:cs="仿宋"/>
          <w:kern w:val="0"/>
          <w:sz w:val="30"/>
          <w:szCs w:val="30"/>
          <w:highlight w:val="none"/>
          <w:lang w:val="en-US" w:eastAsia="zh-CN"/>
        </w:rPr>
        <w:t>银行</w:t>
      </w:r>
      <w:r>
        <w:rPr>
          <w:rFonts w:hint="eastAsia" w:ascii="仿宋" w:hAnsi="仿宋" w:eastAsia="仿宋" w:cs="仿宋"/>
          <w:kern w:val="0"/>
          <w:sz w:val="30"/>
          <w:szCs w:val="30"/>
          <w:highlight w:val="none"/>
        </w:rPr>
        <w:t>进行国际收支统计申报业务</w:t>
      </w:r>
      <w:r>
        <w:rPr>
          <w:rFonts w:hint="eastAsia" w:ascii="仿宋" w:hAnsi="仿宋" w:eastAsia="仿宋" w:cs="仿宋"/>
          <w:kern w:val="0"/>
          <w:sz w:val="30"/>
          <w:szCs w:val="30"/>
          <w:highlight w:val="none"/>
          <w:lang w:eastAsia="zh-CN"/>
        </w:rPr>
        <w:t>实施细则</w:t>
      </w:r>
      <w:r>
        <w:rPr>
          <w:rFonts w:hint="eastAsia" w:ascii="仿宋" w:hAnsi="仿宋" w:eastAsia="仿宋" w:cs="仿宋"/>
          <w:kern w:val="0"/>
          <w:sz w:val="30"/>
          <w:szCs w:val="30"/>
          <w:highlight w:val="none"/>
          <w:lang w:val="en-US" w:eastAsia="zh-CN"/>
        </w:rPr>
        <w:t>&gt;</w:t>
      </w:r>
      <w:r>
        <w:rPr>
          <w:rFonts w:hint="eastAsia" w:ascii="仿宋" w:hAnsi="仿宋" w:eastAsia="仿宋" w:cs="仿宋"/>
          <w:kern w:val="0"/>
          <w:sz w:val="30"/>
          <w:szCs w:val="30"/>
          <w:highlight w:val="none"/>
          <w:lang w:eastAsia="zh-CN"/>
        </w:rPr>
        <w:t>的通知</w:t>
      </w:r>
      <w:r>
        <w:rPr>
          <w:rFonts w:hint="eastAsia" w:ascii="仿宋" w:hAnsi="仿宋" w:eastAsia="仿宋" w:cs="仿宋"/>
          <w:kern w:val="0"/>
          <w:sz w:val="30"/>
          <w:szCs w:val="30"/>
          <w:highlight w:val="none"/>
        </w:rPr>
        <w:t>》（汇发〔20</w:t>
      </w:r>
      <w:r>
        <w:rPr>
          <w:rFonts w:hint="eastAsia" w:ascii="仿宋" w:hAnsi="仿宋" w:eastAsia="仿宋" w:cs="仿宋"/>
          <w:kern w:val="0"/>
          <w:sz w:val="30"/>
          <w:szCs w:val="30"/>
          <w:highlight w:val="none"/>
          <w:lang w:val="en-US" w:eastAsia="zh-CN"/>
        </w:rPr>
        <w:t>22</w:t>
      </w:r>
      <w:r>
        <w:rPr>
          <w:rFonts w:hint="eastAsia" w:ascii="仿宋" w:hAnsi="仿宋" w:eastAsia="仿宋" w:cs="仿宋"/>
          <w:kern w:val="0"/>
          <w:sz w:val="30"/>
          <w:szCs w:val="30"/>
          <w:highlight w:val="none"/>
        </w:rPr>
        <w:t>〕22号）有关要求，结合湖南省国际收支统计申报工作实际情况，制定本制度。</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第二条</w:t>
      </w:r>
      <w:r>
        <w:rPr>
          <w:rFonts w:hint="eastAsia" w:ascii="仿宋" w:hAnsi="仿宋" w:eastAsia="仿宋" w:cs="仿宋"/>
          <w:kern w:val="0"/>
          <w:sz w:val="30"/>
          <w:szCs w:val="30"/>
          <w:highlight w:val="none"/>
        </w:rPr>
        <w:t xml:space="preserve"> 本制度所称的机构申报主体，是指通过境内银行办理涉外收入业务的非银行机构，申报方式包括纸质申报方式和网上申报方式。</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第三条</w:t>
      </w:r>
      <w:r>
        <w:rPr>
          <w:rFonts w:hint="eastAsia" w:ascii="仿宋" w:hAnsi="仿宋" w:eastAsia="仿宋" w:cs="仿宋"/>
          <w:kern w:val="0"/>
          <w:sz w:val="30"/>
          <w:szCs w:val="30"/>
          <w:highlight w:val="none"/>
        </w:rPr>
        <w:t xml:space="preserve"> 本制度所称的“不申报、不解付”是指对未在五个工作日内按规定办理涉外收入申报且情节严重的机构申报主体执行特殊处理措施，即机构申报主体不补报其逾期未申报的涉外收入款项，经办银行不得为其办理新发生涉外收入款项的解付手续。</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第四条</w:t>
      </w:r>
      <w:r>
        <w:rPr>
          <w:rFonts w:hint="eastAsia" w:ascii="仿宋" w:hAnsi="仿宋" w:eastAsia="仿宋" w:cs="仿宋"/>
          <w:kern w:val="0"/>
          <w:sz w:val="30"/>
          <w:szCs w:val="30"/>
          <w:highlight w:val="none"/>
        </w:rPr>
        <w:t xml:space="preserve"> 本制度所涉及的责任三方为国家外汇管理局湖南省分局及其辖内</w:t>
      </w:r>
      <w:r>
        <w:rPr>
          <w:rFonts w:hint="eastAsia" w:ascii="仿宋" w:hAnsi="仿宋" w:eastAsia="仿宋" w:cs="仿宋"/>
          <w:kern w:val="0"/>
          <w:sz w:val="30"/>
          <w:szCs w:val="30"/>
          <w:highlight w:val="none"/>
          <w:lang w:eastAsia="zh-CN"/>
        </w:rPr>
        <w:t>市（州）分局</w:t>
      </w:r>
      <w:r>
        <w:rPr>
          <w:rFonts w:hint="eastAsia" w:ascii="仿宋" w:hAnsi="仿宋" w:eastAsia="仿宋" w:cs="仿宋"/>
          <w:kern w:val="0"/>
          <w:sz w:val="30"/>
          <w:szCs w:val="30"/>
          <w:highlight w:val="none"/>
        </w:rPr>
        <w:t>（以下简称省分局及其辖内</w:t>
      </w:r>
      <w:r>
        <w:rPr>
          <w:rFonts w:hint="eastAsia" w:ascii="仿宋" w:hAnsi="仿宋" w:eastAsia="仿宋" w:cs="仿宋"/>
          <w:kern w:val="0"/>
          <w:sz w:val="30"/>
          <w:szCs w:val="30"/>
          <w:highlight w:val="none"/>
          <w:lang w:eastAsia="zh-CN"/>
        </w:rPr>
        <w:t>机构</w:t>
      </w:r>
      <w:r>
        <w:rPr>
          <w:rFonts w:hint="eastAsia" w:ascii="仿宋" w:hAnsi="仿宋" w:eastAsia="仿宋" w:cs="仿宋"/>
          <w:kern w:val="0"/>
          <w:sz w:val="30"/>
          <w:szCs w:val="30"/>
          <w:highlight w:val="none"/>
        </w:rPr>
        <w:t>）、外汇指定银行以及机构申报主体。</w:t>
      </w:r>
    </w:p>
    <w:p>
      <w:pPr>
        <w:widowControl/>
        <w:snapToGrid w:val="0"/>
        <w:spacing w:before="100" w:beforeAutospacing="1" w:after="100" w:afterAutospacing="1" w:line="360" w:lineRule="auto"/>
        <w:jc w:val="center"/>
        <w:rPr>
          <w:rFonts w:hint="eastAsia" w:ascii="黑体" w:hAnsi="黑体" w:eastAsia="黑体" w:cs="黑体"/>
          <w:kern w:val="0"/>
          <w:sz w:val="30"/>
          <w:szCs w:val="30"/>
          <w:highlight w:val="none"/>
        </w:rPr>
      </w:pPr>
      <w:r>
        <w:rPr>
          <w:rFonts w:hint="eastAsia" w:ascii="黑体" w:hAnsi="黑体" w:eastAsia="黑体" w:cs="黑体"/>
          <w:kern w:val="0"/>
          <w:sz w:val="30"/>
          <w:szCs w:val="30"/>
          <w:highlight w:val="none"/>
        </w:rPr>
        <w:t>第二章 “不申报、不解付”执行标准</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 xml:space="preserve">第五条 </w:t>
      </w:r>
      <w:r>
        <w:rPr>
          <w:rFonts w:hint="eastAsia" w:ascii="仿宋" w:hAnsi="仿宋" w:eastAsia="仿宋" w:cs="仿宋"/>
          <w:kern w:val="0"/>
          <w:sz w:val="30"/>
          <w:szCs w:val="30"/>
          <w:highlight w:val="none"/>
        </w:rPr>
        <w:t>机构申报主体有以下情形之一者，国家外汇管理局湖南省分局（以下简称省分局）将执行“不申报，不解付”特殊处理措施：</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rPr>
        <w:t>（一）在一个自然月内累计逾期未申报超过5笔（含）；</w:t>
      </w:r>
    </w:p>
    <w:p>
      <w:pPr>
        <w:widowControl/>
        <w:snapToGrid w:val="0"/>
        <w:spacing w:before="100" w:beforeAutospacing="1" w:after="100" w:afterAutospacing="1" w:line="360" w:lineRule="auto"/>
        <w:jc w:val="left"/>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rPr>
        <w:t>（二）在一个自然月内累计逾期未申报金额超过等值100万美元（含）；</w:t>
      </w:r>
    </w:p>
    <w:p>
      <w:pPr>
        <w:widowControl/>
        <w:snapToGrid w:val="0"/>
        <w:spacing w:before="100" w:beforeAutospacing="1" w:after="100" w:afterAutospacing="1" w:line="360" w:lineRule="auto"/>
        <w:jc w:val="left"/>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rPr>
        <w:t>（三）一个季度（3个月）内累计发生的逾期未申报超过10笔（含）；</w:t>
      </w:r>
    </w:p>
    <w:p>
      <w:pPr>
        <w:widowControl/>
        <w:snapToGrid w:val="0"/>
        <w:spacing w:before="100" w:beforeAutospacing="1" w:after="100" w:afterAutospacing="1" w:line="360" w:lineRule="auto"/>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第六条</w:t>
      </w:r>
      <w:r>
        <w:rPr>
          <w:rFonts w:hint="eastAsia" w:ascii="仿宋" w:hAnsi="仿宋" w:eastAsia="仿宋" w:cs="仿宋"/>
          <w:kern w:val="0"/>
          <w:sz w:val="30"/>
          <w:szCs w:val="30"/>
          <w:highlight w:val="none"/>
        </w:rPr>
        <w:t xml:space="preserve"> 同一机构申报主体一个自然年内累计被执行特殊处理措施3次（含）以上，将移交</w:t>
      </w:r>
      <w:r>
        <w:rPr>
          <w:rFonts w:hint="eastAsia" w:ascii="仿宋" w:hAnsi="仿宋" w:eastAsia="仿宋" w:cs="仿宋"/>
          <w:kern w:val="0"/>
          <w:sz w:val="30"/>
          <w:szCs w:val="30"/>
          <w:highlight w:val="none"/>
          <w:lang w:eastAsia="zh-CN"/>
        </w:rPr>
        <w:t>外汇局</w:t>
      </w:r>
      <w:r>
        <w:rPr>
          <w:rFonts w:hint="eastAsia" w:ascii="仿宋" w:hAnsi="仿宋" w:eastAsia="仿宋" w:cs="仿宋"/>
          <w:kern w:val="0"/>
          <w:sz w:val="30"/>
          <w:szCs w:val="30"/>
          <w:highlight w:val="none"/>
        </w:rPr>
        <w:t>检查部门处理。</w:t>
      </w:r>
    </w:p>
    <w:p>
      <w:pPr>
        <w:widowControl/>
        <w:snapToGrid w:val="0"/>
        <w:spacing w:before="100" w:beforeAutospacing="1" w:after="100" w:afterAutospacing="1" w:line="360" w:lineRule="auto"/>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第七条</w:t>
      </w:r>
      <w:r>
        <w:rPr>
          <w:rFonts w:hint="eastAsia" w:ascii="仿宋" w:hAnsi="仿宋" w:eastAsia="仿宋" w:cs="仿宋"/>
          <w:kern w:val="0"/>
          <w:sz w:val="30"/>
          <w:szCs w:val="30"/>
          <w:highlight w:val="none"/>
        </w:rPr>
        <w:t xml:space="preserve"> 特殊处理措施期间是指机构申报主体被执行“不申报、不解付”特殊处理措施开始时点至被解除时点的时间区段</w:t>
      </w:r>
      <w:r>
        <w:rPr>
          <w:rFonts w:hint="eastAsia" w:ascii="仿宋" w:hAnsi="仿宋" w:eastAsia="仿宋" w:cs="仿宋"/>
          <w:kern w:val="0"/>
          <w:sz w:val="30"/>
          <w:szCs w:val="30"/>
          <w:highlight w:val="none"/>
          <w:lang w:val="en-US" w:eastAsia="zh-CN"/>
        </w:rPr>
        <w:t xml:space="preserve"> </w:t>
      </w:r>
      <w:r>
        <w:rPr>
          <w:rFonts w:hint="eastAsia" w:ascii="仿宋" w:hAnsi="仿宋" w:eastAsia="仿宋" w:cs="仿宋"/>
          <w:kern w:val="0"/>
          <w:sz w:val="30"/>
          <w:szCs w:val="30"/>
          <w:highlight w:val="none"/>
        </w:rPr>
        <w:t>。</w:t>
      </w:r>
    </w:p>
    <w:p>
      <w:pPr>
        <w:widowControl/>
        <w:snapToGrid w:val="0"/>
        <w:spacing w:before="100" w:beforeAutospacing="1" w:after="100" w:afterAutospacing="1" w:line="360" w:lineRule="auto"/>
        <w:jc w:val="center"/>
        <w:rPr>
          <w:rFonts w:hint="eastAsia" w:ascii="黑体" w:hAnsi="黑体" w:eastAsia="黑体" w:cs="黑体"/>
          <w:kern w:val="0"/>
          <w:sz w:val="30"/>
          <w:szCs w:val="30"/>
          <w:highlight w:val="none"/>
        </w:rPr>
      </w:pPr>
      <w:r>
        <w:rPr>
          <w:rFonts w:hint="eastAsia" w:ascii="黑体" w:hAnsi="黑体" w:eastAsia="黑体" w:cs="黑体"/>
          <w:kern w:val="0"/>
          <w:sz w:val="30"/>
          <w:szCs w:val="30"/>
          <w:highlight w:val="none"/>
        </w:rPr>
        <w:t>第三章 被执行“不申报，不解付”特殊处理措施的</w:t>
      </w:r>
    </w:p>
    <w:p>
      <w:pPr>
        <w:widowControl/>
        <w:snapToGrid w:val="0"/>
        <w:spacing w:before="100" w:beforeAutospacing="1" w:after="100" w:afterAutospacing="1" w:line="360" w:lineRule="auto"/>
        <w:jc w:val="center"/>
        <w:rPr>
          <w:rFonts w:hint="eastAsia" w:ascii="黑体" w:hAnsi="黑体" w:eastAsia="黑体" w:cs="黑体"/>
          <w:kern w:val="0"/>
          <w:sz w:val="30"/>
          <w:szCs w:val="30"/>
          <w:highlight w:val="none"/>
        </w:rPr>
      </w:pPr>
      <w:r>
        <w:rPr>
          <w:rFonts w:hint="eastAsia" w:ascii="黑体" w:hAnsi="黑体" w:eastAsia="黑体" w:cs="黑体"/>
          <w:kern w:val="0"/>
          <w:sz w:val="30"/>
          <w:szCs w:val="30"/>
          <w:highlight w:val="none"/>
        </w:rPr>
        <w:t>机构申报主体的义务</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 xml:space="preserve">第八条 </w:t>
      </w:r>
      <w:r>
        <w:rPr>
          <w:rFonts w:hint="eastAsia" w:ascii="仿宋" w:hAnsi="仿宋" w:eastAsia="仿宋" w:cs="仿宋"/>
          <w:kern w:val="0"/>
          <w:sz w:val="30"/>
          <w:szCs w:val="30"/>
          <w:highlight w:val="none"/>
        </w:rPr>
        <w:t>被执行“不申报、不解付”特殊处理措施的机构申报主体，应</w:t>
      </w:r>
      <w:r>
        <w:rPr>
          <w:rFonts w:hint="eastAsia" w:ascii="仿宋" w:hAnsi="仿宋" w:eastAsia="仿宋" w:cs="仿宋"/>
          <w:kern w:val="0"/>
          <w:sz w:val="30"/>
          <w:szCs w:val="30"/>
          <w:highlight w:val="none"/>
          <w:lang w:eastAsia="zh-CN"/>
        </w:rPr>
        <w:t>及时</w:t>
      </w:r>
      <w:r>
        <w:rPr>
          <w:rFonts w:hint="eastAsia" w:ascii="仿宋" w:hAnsi="仿宋" w:eastAsia="仿宋" w:cs="仿宋"/>
          <w:kern w:val="0"/>
          <w:sz w:val="30"/>
          <w:szCs w:val="30"/>
          <w:highlight w:val="none"/>
        </w:rPr>
        <w:t>通过纸质申报方式或网上申报方式补报此前未按期申报的涉外收入款项，履行补报义务后应向当地</w:t>
      </w:r>
      <w:r>
        <w:rPr>
          <w:rFonts w:hint="eastAsia" w:ascii="仿宋" w:hAnsi="仿宋" w:eastAsia="仿宋" w:cs="仿宋"/>
          <w:kern w:val="0"/>
          <w:sz w:val="30"/>
          <w:szCs w:val="30"/>
          <w:highlight w:val="none"/>
          <w:lang w:eastAsia="zh-CN"/>
        </w:rPr>
        <w:t>外汇局</w:t>
      </w:r>
      <w:r>
        <w:rPr>
          <w:rFonts w:hint="eastAsia" w:ascii="仿宋" w:hAnsi="仿宋" w:eastAsia="仿宋" w:cs="仿宋"/>
          <w:kern w:val="0"/>
          <w:sz w:val="30"/>
          <w:szCs w:val="30"/>
          <w:highlight w:val="none"/>
        </w:rPr>
        <w:t>书面提出申请签发《国际收支统计申报补报确认书》（以下简称《补报确认书》，格式见附件1.4）。</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第九条</w:t>
      </w:r>
      <w:r>
        <w:rPr>
          <w:rFonts w:hint="eastAsia" w:ascii="仿宋" w:hAnsi="仿宋" w:eastAsia="仿宋" w:cs="仿宋"/>
          <w:kern w:val="0"/>
          <w:sz w:val="30"/>
          <w:szCs w:val="30"/>
          <w:highlight w:val="none"/>
        </w:rPr>
        <w:t xml:space="preserve"> 被执行“不申报、不解付”特殊处理措施的机构申报主体，应以纸质申报方式完成被执行特殊处理措施期间新发生的涉外收入款项的申报。</w:t>
      </w:r>
    </w:p>
    <w:p>
      <w:pPr>
        <w:widowControl/>
        <w:spacing w:before="100" w:beforeAutospacing="1" w:after="100" w:afterAutospacing="1"/>
        <w:jc w:val="left"/>
        <w:rPr>
          <w:rFonts w:hint="eastAsia" w:ascii="仿宋" w:hAnsi="仿宋" w:eastAsia="仿宋" w:cs="仿宋"/>
          <w:kern w:val="0"/>
          <w:sz w:val="30"/>
          <w:szCs w:val="30"/>
          <w:highlight w:val="none"/>
          <w:lang w:eastAsia="zh-CN"/>
        </w:rPr>
      </w:pPr>
      <w:r>
        <w:rPr>
          <w:rFonts w:hint="eastAsia" w:ascii="仿宋" w:hAnsi="仿宋" w:eastAsia="仿宋" w:cs="仿宋"/>
          <w:b/>
          <w:bCs/>
          <w:kern w:val="0"/>
          <w:sz w:val="30"/>
          <w:szCs w:val="30"/>
          <w:highlight w:val="none"/>
        </w:rPr>
        <w:t xml:space="preserve">第十条 </w:t>
      </w:r>
      <w:r>
        <w:rPr>
          <w:rFonts w:hint="eastAsia" w:ascii="仿宋" w:hAnsi="仿宋" w:eastAsia="仿宋" w:cs="仿宋"/>
          <w:kern w:val="0"/>
          <w:sz w:val="30"/>
          <w:szCs w:val="30"/>
          <w:highlight w:val="none"/>
        </w:rPr>
        <w:t>机构申报主体补报其未按期申报的涉外收入款项后，凭《补报确认书》可向当地</w:t>
      </w:r>
      <w:r>
        <w:rPr>
          <w:rFonts w:hint="eastAsia" w:ascii="仿宋" w:hAnsi="仿宋" w:eastAsia="仿宋" w:cs="仿宋"/>
          <w:kern w:val="0"/>
          <w:sz w:val="30"/>
          <w:szCs w:val="30"/>
          <w:highlight w:val="none"/>
          <w:lang w:eastAsia="zh-CN"/>
        </w:rPr>
        <w:t>外汇局</w:t>
      </w:r>
      <w:r>
        <w:rPr>
          <w:rFonts w:hint="eastAsia" w:ascii="仿宋" w:hAnsi="仿宋" w:eastAsia="仿宋" w:cs="仿宋"/>
          <w:kern w:val="0"/>
          <w:sz w:val="30"/>
          <w:szCs w:val="30"/>
          <w:highlight w:val="none"/>
        </w:rPr>
        <w:t>书面提出申请解除特殊处理措施，并由当地</w:t>
      </w:r>
      <w:r>
        <w:rPr>
          <w:rFonts w:hint="eastAsia" w:ascii="仿宋" w:hAnsi="仿宋" w:eastAsia="仿宋" w:cs="仿宋"/>
          <w:kern w:val="0"/>
          <w:sz w:val="30"/>
          <w:szCs w:val="30"/>
          <w:highlight w:val="none"/>
          <w:lang w:eastAsia="zh-CN"/>
        </w:rPr>
        <w:t>外汇局于</w:t>
      </w:r>
      <w:r>
        <w:rPr>
          <w:rFonts w:hint="eastAsia" w:ascii="仿宋" w:hAnsi="仿宋" w:eastAsia="仿宋" w:cs="仿宋"/>
          <w:kern w:val="0"/>
          <w:sz w:val="30"/>
          <w:szCs w:val="30"/>
          <w:highlight w:val="none"/>
          <w:lang w:val="en-US" w:eastAsia="zh-CN"/>
        </w:rPr>
        <w:t>2</w:t>
      </w:r>
      <w:r>
        <w:rPr>
          <w:rFonts w:hint="eastAsia" w:ascii="仿宋" w:hAnsi="仿宋" w:eastAsia="仿宋" w:cs="仿宋"/>
          <w:kern w:val="0"/>
          <w:sz w:val="30"/>
          <w:szCs w:val="30"/>
          <w:highlight w:val="none"/>
          <w:lang w:eastAsia="zh-CN"/>
        </w:rPr>
        <w:t>个工作日内</w:t>
      </w:r>
      <w:r>
        <w:rPr>
          <w:rFonts w:hint="eastAsia" w:ascii="仿宋" w:hAnsi="仿宋" w:eastAsia="仿宋" w:cs="仿宋"/>
          <w:kern w:val="0"/>
          <w:sz w:val="30"/>
          <w:szCs w:val="30"/>
          <w:highlight w:val="none"/>
        </w:rPr>
        <w:t>呈报省分局核准。</w:t>
      </w:r>
      <w:r>
        <w:rPr>
          <w:rFonts w:hint="eastAsia" w:ascii="仿宋" w:hAnsi="仿宋" w:eastAsia="仿宋" w:cs="仿宋"/>
          <w:kern w:val="0"/>
          <w:sz w:val="30"/>
          <w:szCs w:val="30"/>
          <w:highlight w:val="none"/>
          <w:lang w:eastAsia="zh-CN"/>
        </w:rPr>
        <w:t>省分局核准后，由当地外汇局通知银行进行解除特殊处理措施。</w:t>
      </w:r>
    </w:p>
    <w:p>
      <w:pPr>
        <w:widowControl/>
        <w:jc w:val="left"/>
        <w:rPr>
          <w:rFonts w:hint="eastAsia" w:ascii="仿宋" w:hAnsi="仿宋" w:eastAsia="仿宋" w:cs="仿宋"/>
          <w:kern w:val="0"/>
          <w:sz w:val="30"/>
          <w:szCs w:val="30"/>
          <w:highlight w:val="none"/>
        </w:rPr>
      </w:pPr>
    </w:p>
    <w:p>
      <w:pPr>
        <w:widowControl/>
        <w:snapToGrid w:val="0"/>
        <w:spacing w:before="100" w:beforeAutospacing="1" w:after="100" w:afterAutospacing="1" w:line="360" w:lineRule="auto"/>
        <w:jc w:val="center"/>
        <w:rPr>
          <w:rFonts w:hint="eastAsia" w:ascii="黑体" w:hAnsi="黑体" w:eastAsia="黑体" w:cs="黑体"/>
          <w:kern w:val="0"/>
          <w:sz w:val="30"/>
          <w:szCs w:val="30"/>
          <w:highlight w:val="none"/>
        </w:rPr>
      </w:pPr>
      <w:r>
        <w:rPr>
          <w:rFonts w:hint="eastAsia" w:ascii="黑体" w:hAnsi="黑体" w:eastAsia="黑体" w:cs="黑体"/>
          <w:kern w:val="0"/>
          <w:sz w:val="30"/>
          <w:szCs w:val="30"/>
          <w:highlight w:val="none"/>
        </w:rPr>
        <w:t>第四章 外汇指定银行职责</w:t>
      </w:r>
    </w:p>
    <w:p>
      <w:pPr>
        <w:widowControl/>
        <w:spacing w:before="100" w:beforeAutospacing="1" w:after="100" w:afterAutospacing="1"/>
        <w:jc w:val="left"/>
        <w:rPr>
          <w:rFonts w:hint="eastAsia" w:ascii="仿宋" w:hAnsi="仿宋" w:eastAsia="仿宋" w:cs="仿宋"/>
          <w:kern w:val="0"/>
          <w:sz w:val="30"/>
          <w:szCs w:val="30"/>
          <w:highlight w:val="none"/>
          <w:lang w:val="en-US" w:eastAsia="zh-CN"/>
        </w:rPr>
      </w:pPr>
      <w:r>
        <w:rPr>
          <w:rFonts w:hint="eastAsia" w:ascii="仿宋" w:hAnsi="仿宋" w:eastAsia="仿宋" w:cs="仿宋"/>
          <w:b/>
          <w:bCs/>
          <w:kern w:val="0"/>
          <w:sz w:val="30"/>
          <w:szCs w:val="30"/>
          <w:highlight w:val="none"/>
        </w:rPr>
        <w:t xml:space="preserve">第十一条 </w:t>
      </w:r>
      <w:r>
        <w:rPr>
          <w:rFonts w:hint="eastAsia" w:ascii="仿宋" w:hAnsi="仿宋" w:eastAsia="仿宋" w:cs="仿宋"/>
          <w:kern w:val="0"/>
          <w:sz w:val="30"/>
          <w:szCs w:val="30"/>
          <w:highlight w:val="none"/>
        </w:rPr>
        <w:t>辖内外汇指定银行应于每月前3个工作日内将上月发生的涉外收入逾期未申报数据填报《机构申报主体逾期未申报名单》（见附件1.1）以书面形式报送当地</w:t>
      </w:r>
      <w:r>
        <w:rPr>
          <w:rFonts w:hint="eastAsia" w:ascii="仿宋" w:hAnsi="仿宋" w:eastAsia="仿宋" w:cs="仿宋"/>
          <w:kern w:val="0"/>
          <w:sz w:val="30"/>
          <w:szCs w:val="30"/>
          <w:highlight w:val="none"/>
          <w:lang w:eastAsia="zh-CN"/>
        </w:rPr>
        <w:t>外汇局</w:t>
      </w:r>
      <w:r>
        <w:rPr>
          <w:rFonts w:hint="eastAsia" w:ascii="仿宋" w:hAnsi="仿宋" w:eastAsia="仿宋" w:cs="仿宋"/>
          <w:kern w:val="0"/>
          <w:sz w:val="30"/>
          <w:szCs w:val="30"/>
          <w:highlight w:val="none"/>
        </w:rPr>
        <w:t>，同时报送电子文档。</w:t>
      </w:r>
      <w:r>
        <w:rPr>
          <w:rFonts w:hint="eastAsia" w:ascii="仿宋" w:hAnsi="仿宋" w:eastAsia="仿宋" w:cs="仿宋"/>
          <w:kern w:val="0"/>
          <w:sz w:val="30"/>
          <w:szCs w:val="30"/>
          <w:highlight w:val="none"/>
          <w:lang w:eastAsia="zh-CN"/>
        </w:rPr>
        <w:t>因特殊情况未能按时报送的，可向当地外汇局提交书面申请，经当地外汇局批准后，可延长至</w:t>
      </w:r>
      <w:r>
        <w:rPr>
          <w:rFonts w:hint="eastAsia" w:ascii="仿宋" w:hAnsi="仿宋" w:eastAsia="仿宋" w:cs="仿宋"/>
          <w:kern w:val="0"/>
          <w:sz w:val="30"/>
          <w:szCs w:val="30"/>
          <w:highlight w:val="none"/>
          <w:lang w:val="en-US" w:eastAsia="zh-CN"/>
        </w:rPr>
        <w:t>5个工作日报送。</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 xml:space="preserve">第十二条 </w:t>
      </w:r>
      <w:r>
        <w:rPr>
          <w:rFonts w:hint="eastAsia" w:ascii="仿宋" w:hAnsi="仿宋" w:eastAsia="仿宋" w:cs="仿宋"/>
          <w:kern w:val="0"/>
          <w:sz w:val="30"/>
          <w:szCs w:val="30"/>
          <w:highlight w:val="none"/>
        </w:rPr>
        <w:t>对于被执行“不申报、不解付”特殊处理措施的机构申报主体，经办银行应当督促该机构首先逐笔补报其此前未按期申报的涉外收入款项，并通知其以纸质申报方式完成其被执行特殊处理措施期间新收款项的申报。</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 xml:space="preserve">第十三条 </w:t>
      </w:r>
      <w:r>
        <w:rPr>
          <w:rFonts w:hint="eastAsia" w:ascii="仿宋" w:hAnsi="仿宋" w:eastAsia="仿宋" w:cs="仿宋"/>
          <w:kern w:val="0"/>
          <w:sz w:val="30"/>
          <w:szCs w:val="30"/>
          <w:highlight w:val="none"/>
        </w:rPr>
        <w:t>经办银行审核机构申报主体补报数据无误后，凭当地</w:t>
      </w:r>
      <w:r>
        <w:rPr>
          <w:rFonts w:hint="eastAsia" w:ascii="仿宋" w:hAnsi="仿宋" w:eastAsia="仿宋" w:cs="仿宋"/>
          <w:kern w:val="0"/>
          <w:sz w:val="30"/>
          <w:szCs w:val="30"/>
          <w:highlight w:val="none"/>
          <w:lang w:eastAsia="zh-CN"/>
        </w:rPr>
        <w:t>外汇局</w:t>
      </w:r>
      <w:r>
        <w:rPr>
          <w:rFonts w:hint="eastAsia" w:ascii="仿宋" w:hAnsi="仿宋" w:eastAsia="仿宋" w:cs="仿宋"/>
          <w:kern w:val="0"/>
          <w:sz w:val="30"/>
          <w:szCs w:val="30"/>
          <w:highlight w:val="none"/>
        </w:rPr>
        <w:t>为该机构申报主体出具的《补报确认书》（原件和复印件各一份，并留存复印件备查），方可为其办理新发生涉外收入款项的解付手续，并完成基础信息和申报信息的报送。</w:t>
      </w:r>
    </w:p>
    <w:p>
      <w:pPr>
        <w:widowControl/>
        <w:snapToGrid w:val="0"/>
        <w:spacing w:before="100" w:beforeAutospacing="1" w:after="100" w:afterAutospacing="1" w:line="360" w:lineRule="auto"/>
        <w:jc w:val="center"/>
        <w:rPr>
          <w:rFonts w:hint="eastAsia" w:ascii="黑体" w:hAnsi="黑体" w:eastAsia="黑体" w:cs="黑体"/>
          <w:kern w:val="0"/>
          <w:sz w:val="30"/>
          <w:szCs w:val="30"/>
          <w:highlight w:val="none"/>
        </w:rPr>
      </w:pPr>
      <w:r>
        <w:rPr>
          <w:rFonts w:hint="eastAsia" w:ascii="黑体" w:hAnsi="黑体" w:eastAsia="黑体" w:cs="黑体"/>
          <w:kern w:val="0"/>
          <w:sz w:val="30"/>
          <w:szCs w:val="30"/>
          <w:highlight w:val="none"/>
        </w:rPr>
        <w:t>第五章 外汇管理局职责</w:t>
      </w:r>
    </w:p>
    <w:p>
      <w:pPr>
        <w:widowControl/>
        <w:spacing w:before="100" w:beforeAutospacing="1" w:after="100" w:afterAutospacing="1"/>
        <w:jc w:val="left"/>
        <w:rPr>
          <w:rFonts w:hint="eastAsia" w:ascii="仿宋" w:hAnsi="仿宋" w:eastAsia="仿宋" w:cs="仿宋"/>
          <w:kern w:val="0"/>
          <w:sz w:val="30"/>
          <w:szCs w:val="30"/>
          <w:highlight w:val="none"/>
          <w:lang w:val="en-US" w:eastAsia="zh-CN"/>
        </w:rPr>
      </w:pPr>
      <w:r>
        <w:rPr>
          <w:rFonts w:hint="eastAsia" w:ascii="仿宋" w:hAnsi="仿宋" w:eastAsia="仿宋" w:cs="仿宋"/>
          <w:b/>
          <w:bCs/>
          <w:kern w:val="0"/>
          <w:sz w:val="30"/>
          <w:szCs w:val="30"/>
          <w:highlight w:val="none"/>
        </w:rPr>
        <w:t xml:space="preserve">第十四条 </w:t>
      </w:r>
      <w:r>
        <w:rPr>
          <w:rFonts w:hint="eastAsia" w:ascii="仿宋" w:hAnsi="仿宋" w:eastAsia="仿宋" w:cs="仿宋"/>
          <w:kern w:val="0"/>
          <w:sz w:val="30"/>
          <w:szCs w:val="30"/>
          <w:highlight w:val="none"/>
        </w:rPr>
        <w:t>辖内</w:t>
      </w:r>
      <w:r>
        <w:rPr>
          <w:rFonts w:hint="eastAsia" w:ascii="仿宋" w:hAnsi="仿宋" w:eastAsia="仿宋" w:cs="仿宋"/>
          <w:kern w:val="0"/>
          <w:sz w:val="30"/>
          <w:szCs w:val="30"/>
          <w:highlight w:val="none"/>
          <w:lang w:eastAsia="zh-CN"/>
        </w:rPr>
        <w:t>市（州）分局</w:t>
      </w:r>
      <w:r>
        <w:rPr>
          <w:rFonts w:hint="eastAsia" w:ascii="仿宋" w:hAnsi="仿宋" w:eastAsia="仿宋" w:cs="仿宋"/>
          <w:kern w:val="0"/>
          <w:sz w:val="30"/>
          <w:szCs w:val="30"/>
          <w:highlight w:val="none"/>
        </w:rPr>
        <w:t>应于每月前5个工作日内将上月发生的涉外收入逾期未申报数据填报《机构申报主体逾期未申报名单》（见附件1.1）以书面形式报送省分局，同时报送电子文档。</w:t>
      </w:r>
      <w:r>
        <w:rPr>
          <w:rFonts w:hint="eastAsia" w:ascii="仿宋" w:hAnsi="仿宋" w:eastAsia="仿宋" w:cs="仿宋"/>
          <w:kern w:val="0"/>
          <w:sz w:val="30"/>
          <w:szCs w:val="30"/>
          <w:highlight w:val="none"/>
          <w:lang w:eastAsia="zh-CN"/>
        </w:rPr>
        <w:t>因特殊情况未能按时报送的，可向省分局提出书面申请，经省分局同意后，可延长至</w:t>
      </w:r>
      <w:r>
        <w:rPr>
          <w:rFonts w:hint="eastAsia" w:ascii="仿宋" w:hAnsi="仿宋" w:eastAsia="仿宋" w:cs="仿宋"/>
          <w:kern w:val="0"/>
          <w:sz w:val="30"/>
          <w:szCs w:val="30"/>
          <w:highlight w:val="none"/>
          <w:lang w:val="en-US" w:eastAsia="zh-CN"/>
        </w:rPr>
        <w:t>7个工作日报送。</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 xml:space="preserve">第十五条 </w:t>
      </w:r>
      <w:r>
        <w:rPr>
          <w:rFonts w:hint="eastAsia" w:ascii="仿宋" w:hAnsi="仿宋" w:eastAsia="仿宋" w:cs="仿宋"/>
          <w:kern w:val="0"/>
          <w:sz w:val="30"/>
          <w:szCs w:val="30"/>
          <w:highlight w:val="none"/>
        </w:rPr>
        <w:t>省分局根据辖内各外汇指定银行和</w:t>
      </w:r>
      <w:r>
        <w:rPr>
          <w:rFonts w:hint="eastAsia" w:ascii="仿宋" w:hAnsi="仿宋" w:eastAsia="仿宋" w:cs="仿宋"/>
          <w:kern w:val="0"/>
          <w:sz w:val="30"/>
          <w:szCs w:val="30"/>
          <w:highlight w:val="none"/>
          <w:lang w:eastAsia="zh-CN"/>
        </w:rPr>
        <w:t>市（州）分局</w:t>
      </w:r>
      <w:r>
        <w:rPr>
          <w:rFonts w:hint="eastAsia" w:ascii="仿宋" w:hAnsi="仿宋" w:eastAsia="仿宋" w:cs="仿宋"/>
          <w:kern w:val="0"/>
          <w:sz w:val="30"/>
          <w:szCs w:val="30"/>
          <w:highlight w:val="none"/>
        </w:rPr>
        <w:t>报送的《机构申报主体逾期未申报名单》，对辖内逾期未申报情况进行汇总和复查，按照本规定第三条的标准确定被执行“不申报、不解付”特殊处理措施的机构申报主体名单。</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第十六条　</w:t>
      </w:r>
      <w:r>
        <w:rPr>
          <w:rFonts w:hint="eastAsia" w:ascii="仿宋" w:hAnsi="仿宋" w:eastAsia="仿宋" w:cs="仿宋"/>
          <w:kern w:val="0"/>
          <w:sz w:val="30"/>
          <w:szCs w:val="30"/>
          <w:highlight w:val="none"/>
        </w:rPr>
        <w:t>省分局将被执行“不申报、不解付”特殊处理措施的机构申报主体名单以文件形式进行通报（以下简称“执行通报”，见附件1.2）。辖内</w:t>
      </w:r>
      <w:r>
        <w:rPr>
          <w:rFonts w:hint="eastAsia" w:ascii="仿宋" w:hAnsi="仿宋" w:eastAsia="仿宋" w:cs="仿宋"/>
          <w:kern w:val="0"/>
          <w:sz w:val="30"/>
          <w:szCs w:val="30"/>
          <w:highlight w:val="none"/>
          <w:lang w:eastAsia="zh-CN"/>
        </w:rPr>
        <w:t>外汇局</w:t>
      </w:r>
      <w:r>
        <w:rPr>
          <w:rFonts w:hint="eastAsia" w:ascii="仿宋" w:hAnsi="仿宋" w:eastAsia="仿宋" w:cs="仿宋"/>
          <w:kern w:val="0"/>
          <w:sz w:val="30"/>
          <w:szCs w:val="30"/>
          <w:highlight w:val="none"/>
        </w:rPr>
        <w:t>以“执行通报”为依据，向所管辖地区内被执行“不申报、不解付”特殊处理措施的机构申报主体发出《关于执行“不申报、不解付”特殊处理措施的通知》（以下简称特殊处理措施通知书）（见附件1.3）。特殊处理措施通知书一式二份，一份当地</w:t>
      </w:r>
      <w:r>
        <w:rPr>
          <w:rFonts w:hint="eastAsia" w:ascii="仿宋" w:hAnsi="仿宋" w:eastAsia="仿宋" w:cs="仿宋"/>
          <w:kern w:val="0"/>
          <w:sz w:val="30"/>
          <w:szCs w:val="30"/>
          <w:highlight w:val="none"/>
          <w:lang w:eastAsia="zh-CN"/>
        </w:rPr>
        <w:t>外汇局</w:t>
      </w:r>
      <w:r>
        <w:rPr>
          <w:rFonts w:hint="eastAsia" w:ascii="仿宋" w:hAnsi="仿宋" w:eastAsia="仿宋" w:cs="仿宋"/>
          <w:kern w:val="0"/>
          <w:sz w:val="30"/>
          <w:szCs w:val="30"/>
          <w:highlight w:val="none"/>
        </w:rPr>
        <w:t>留存，一份申报主体留存。</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第十七条</w:t>
      </w:r>
      <w:r>
        <w:rPr>
          <w:rFonts w:hint="eastAsia" w:ascii="仿宋" w:hAnsi="仿宋" w:eastAsia="仿宋" w:cs="仿宋"/>
          <w:kern w:val="0"/>
          <w:sz w:val="30"/>
          <w:szCs w:val="30"/>
          <w:highlight w:val="none"/>
        </w:rPr>
        <w:t xml:space="preserve"> 当地</w:t>
      </w:r>
      <w:r>
        <w:rPr>
          <w:rFonts w:hint="eastAsia" w:ascii="仿宋" w:hAnsi="仿宋" w:eastAsia="仿宋" w:cs="仿宋"/>
          <w:kern w:val="0"/>
          <w:sz w:val="30"/>
          <w:szCs w:val="30"/>
          <w:highlight w:val="none"/>
          <w:lang w:eastAsia="zh-CN"/>
        </w:rPr>
        <w:t>外汇局</w:t>
      </w:r>
      <w:r>
        <w:rPr>
          <w:rFonts w:hint="eastAsia" w:ascii="仿宋" w:hAnsi="仿宋" w:eastAsia="仿宋" w:cs="仿宋"/>
          <w:kern w:val="0"/>
          <w:sz w:val="30"/>
          <w:szCs w:val="30"/>
          <w:highlight w:val="none"/>
        </w:rPr>
        <w:t>审核辖内被执行“不申报、不解付”特殊处理措施的机构申报主体补报数据后，在10个工作日内向机构申报主体核发《补报确认书》。《补报确认书》一式二份，一份当地</w:t>
      </w:r>
      <w:r>
        <w:rPr>
          <w:rFonts w:hint="eastAsia" w:ascii="仿宋" w:hAnsi="仿宋" w:eastAsia="仿宋" w:cs="仿宋"/>
          <w:kern w:val="0"/>
          <w:sz w:val="30"/>
          <w:szCs w:val="30"/>
          <w:highlight w:val="none"/>
          <w:lang w:eastAsia="zh-CN"/>
        </w:rPr>
        <w:t>外汇局</w:t>
      </w:r>
      <w:r>
        <w:rPr>
          <w:rFonts w:hint="eastAsia" w:ascii="仿宋" w:hAnsi="仿宋" w:eastAsia="仿宋" w:cs="仿宋"/>
          <w:kern w:val="0"/>
          <w:sz w:val="30"/>
          <w:szCs w:val="30"/>
          <w:highlight w:val="none"/>
        </w:rPr>
        <w:t>留存，一份申报主体留存。</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第十八条</w:t>
      </w:r>
      <w:r>
        <w:rPr>
          <w:rFonts w:hint="eastAsia" w:ascii="仿宋" w:hAnsi="仿宋" w:eastAsia="仿宋" w:cs="仿宋"/>
          <w:kern w:val="0"/>
          <w:sz w:val="30"/>
          <w:szCs w:val="30"/>
          <w:highlight w:val="none"/>
        </w:rPr>
        <w:t xml:space="preserve"> 辖内</w:t>
      </w:r>
      <w:r>
        <w:rPr>
          <w:rFonts w:hint="eastAsia" w:ascii="仿宋" w:hAnsi="仿宋" w:eastAsia="仿宋" w:cs="仿宋"/>
          <w:kern w:val="0"/>
          <w:sz w:val="30"/>
          <w:szCs w:val="30"/>
          <w:highlight w:val="none"/>
          <w:lang w:eastAsia="zh-CN"/>
        </w:rPr>
        <w:t>市（州）分局</w:t>
      </w:r>
      <w:r>
        <w:rPr>
          <w:rFonts w:hint="eastAsia" w:ascii="仿宋" w:hAnsi="仿宋" w:eastAsia="仿宋" w:cs="仿宋"/>
          <w:kern w:val="0"/>
          <w:sz w:val="30"/>
          <w:szCs w:val="30"/>
          <w:highlight w:val="none"/>
        </w:rPr>
        <w:t>收到机构申报主体解除特殊处理措施的申请后，应对该申报主体补申报情况进行确认，并即时将审核情况上报省分局。省分局核实无误后，在20个工作日内以文件形式予以解除（以下简称“解除通报”，见附件1.5）。辖内</w:t>
      </w:r>
      <w:r>
        <w:rPr>
          <w:rFonts w:hint="eastAsia" w:ascii="仿宋" w:hAnsi="仿宋" w:eastAsia="仿宋" w:cs="仿宋"/>
          <w:kern w:val="0"/>
          <w:sz w:val="30"/>
          <w:szCs w:val="30"/>
          <w:highlight w:val="none"/>
          <w:lang w:eastAsia="zh-CN"/>
        </w:rPr>
        <w:t>外汇局</w:t>
      </w:r>
      <w:r>
        <w:rPr>
          <w:rFonts w:hint="eastAsia" w:ascii="仿宋" w:hAnsi="仿宋" w:eastAsia="仿宋" w:cs="仿宋"/>
          <w:kern w:val="0"/>
          <w:sz w:val="30"/>
          <w:szCs w:val="30"/>
          <w:highlight w:val="none"/>
        </w:rPr>
        <w:t>以“解除通报”为依据，向所辖机构申报主体核发《国际收支统计申报解除“不申报、不解付”特殊处理措施通知书》（以下简称《解除通知书》，格式见附件1.6）。《解除通知书》一式二份，一份当地</w:t>
      </w:r>
      <w:r>
        <w:rPr>
          <w:rFonts w:hint="eastAsia" w:ascii="仿宋" w:hAnsi="仿宋" w:eastAsia="仿宋" w:cs="仿宋"/>
          <w:kern w:val="0"/>
          <w:sz w:val="30"/>
          <w:szCs w:val="30"/>
          <w:highlight w:val="none"/>
          <w:lang w:eastAsia="zh-CN"/>
        </w:rPr>
        <w:t>外汇局</w:t>
      </w:r>
      <w:r>
        <w:rPr>
          <w:rFonts w:hint="eastAsia" w:ascii="仿宋" w:hAnsi="仿宋" w:eastAsia="仿宋" w:cs="仿宋"/>
          <w:kern w:val="0"/>
          <w:sz w:val="30"/>
          <w:szCs w:val="30"/>
          <w:highlight w:val="none"/>
        </w:rPr>
        <w:t>留存，一份申报主体留存。</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 xml:space="preserve">第十九条 </w:t>
      </w:r>
      <w:r>
        <w:rPr>
          <w:rFonts w:hint="eastAsia" w:ascii="仿宋" w:hAnsi="仿宋" w:eastAsia="仿宋" w:cs="仿宋"/>
          <w:kern w:val="0"/>
          <w:sz w:val="30"/>
          <w:szCs w:val="30"/>
          <w:highlight w:val="none"/>
        </w:rPr>
        <w:t>直接送达文书材料有困难的，可以委托外汇指定银行代为送达。采取直接送达和委托送达等均无法送达的，可以通过公告送达，并做好文件送达当事人的登记手续。</w:t>
      </w:r>
    </w:p>
    <w:p>
      <w:pPr>
        <w:widowControl/>
        <w:snapToGrid w:val="0"/>
        <w:spacing w:before="100" w:beforeAutospacing="1" w:after="100" w:afterAutospacing="1" w:line="360" w:lineRule="auto"/>
        <w:jc w:val="center"/>
        <w:rPr>
          <w:rFonts w:hint="eastAsia" w:ascii="黑体" w:hAnsi="黑体" w:eastAsia="黑体" w:cs="黑体"/>
          <w:kern w:val="0"/>
          <w:sz w:val="30"/>
          <w:szCs w:val="30"/>
          <w:highlight w:val="none"/>
        </w:rPr>
      </w:pPr>
      <w:r>
        <w:rPr>
          <w:rFonts w:hint="eastAsia" w:ascii="黑体" w:hAnsi="黑体" w:eastAsia="黑体" w:cs="黑体"/>
          <w:kern w:val="0"/>
          <w:sz w:val="30"/>
          <w:szCs w:val="30"/>
          <w:highlight w:val="none"/>
        </w:rPr>
        <w:t>第六章 附则</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 xml:space="preserve">第二十条 </w:t>
      </w:r>
      <w:r>
        <w:rPr>
          <w:rFonts w:hint="eastAsia" w:ascii="仿宋" w:hAnsi="仿宋" w:eastAsia="仿宋" w:cs="仿宋"/>
          <w:kern w:val="0"/>
          <w:sz w:val="30"/>
          <w:szCs w:val="30"/>
          <w:highlight w:val="none"/>
        </w:rPr>
        <w:t>“不申报、不解付”制度实行“统一管理、严格授权”，省内各</w:t>
      </w:r>
      <w:r>
        <w:rPr>
          <w:rFonts w:hint="eastAsia" w:ascii="仿宋" w:hAnsi="仿宋" w:eastAsia="仿宋" w:cs="仿宋"/>
          <w:kern w:val="0"/>
          <w:sz w:val="30"/>
          <w:szCs w:val="30"/>
          <w:highlight w:val="none"/>
          <w:lang w:eastAsia="zh-CN"/>
        </w:rPr>
        <w:t>市（州）分局</w:t>
      </w:r>
      <w:r>
        <w:rPr>
          <w:rFonts w:hint="eastAsia" w:ascii="仿宋" w:hAnsi="仿宋" w:eastAsia="仿宋" w:cs="仿宋"/>
          <w:kern w:val="0"/>
          <w:sz w:val="30"/>
          <w:szCs w:val="30"/>
          <w:highlight w:val="none"/>
        </w:rPr>
        <w:t>及外汇指定银行应严格执行“不申报、不解付”制度，省分局及其</w:t>
      </w:r>
      <w:r>
        <w:rPr>
          <w:rFonts w:hint="eastAsia" w:ascii="仿宋" w:hAnsi="仿宋" w:eastAsia="仿宋" w:cs="仿宋"/>
          <w:kern w:val="0"/>
          <w:sz w:val="30"/>
          <w:szCs w:val="30"/>
          <w:highlight w:val="none"/>
          <w:lang w:eastAsia="zh-CN"/>
        </w:rPr>
        <w:t>辖内机构</w:t>
      </w:r>
      <w:r>
        <w:rPr>
          <w:rFonts w:hint="eastAsia" w:ascii="仿宋" w:hAnsi="仿宋" w:eastAsia="仿宋" w:cs="仿宋"/>
          <w:kern w:val="0"/>
          <w:sz w:val="30"/>
          <w:szCs w:val="30"/>
          <w:highlight w:val="none"/>
        </w:rPr>
        <w:t>采取定期和不定期方式跟踪检查“不申报、不解付”制度的执行情况。</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第二十一条</w:t>
      </w:r>
      <w:r>
        <w:rPr>
          <w:rFonts w:hint="eastAsia" w:ascii="仿宋" w:hAnsi="仿宋" w:eastAsia="仿宋" w:cs="仿宋"/>
          <w:kern w:val="0"/>
          <w:sz w:val="30"/>
          <w:szCs w:val="30"/>
          <w:highlight w:val="none"/>
        </w:rPr>
        <w:t xml:space="preserve"> 对违反本管理制度的相关外汇指定银行和申报主体，由</w:t>
      </w:r>
      <w:r>
        <w:rPr>
          <w:rFonts w:hint="eastAsia" w:ascii="仿宋" w:hAnsi="仿宋" w:eastAsia="仿宋" w:cs="仿宋"/>
          <w:kern w:val="0"/>
          <w:sz w:val="30"/>
          <w:szCs w:val="30"/>
          <w:highlight w:val="none"/>
          <w:lang w:eastAsia="zh-CN"/>
        </w:rPr>
        <w:t>外汇局</w:t>
      </w:r>
      <w:r>
        <w:rPr>
          <w:rFonts w:hint="eastAsia" w:ascii="仿宋" w:hAnsi="仿宋" w:eastAsia="仿宋" w:cs="仿宋"/>
          <w:kern w:val="0"/>
          <w:sz w:val="30"/>
          <w:szCs w:val="30"/>
          <w:highlight w:val="none"/>
        </w:rPr>
        <w:t>根据《中华人民共和国外汇管理条例》等</w:t>
      </w:r>
      <w:r>
        <w:rPr>
          <w:rFonts w:hint="eastAsia" w:ascii="仿宋" w:hAnsi="仿宋" w:eastAsia="仿宋" w:cs="仿宋"/>
          <w:kern w:val="0"/>
          <w:sz w:val="30"/>
          <w:szCs w:val="30"/>
          <w:highlight w:val="none"/>
          <w:lang w:eastAsia="zh-CN"/>
        </w:rPr>
        <w:t>相关规定</w:t>
      </w:r>
      <w:r>
        <w:rPr>
          <w:rFonts w:hint="eastAsia" w:ascii="仿宋" w:hAnsi="仿宋" w:eastAsia="仿宋" w:cs="仿宋"/>
          <w:kern w:val="0"/>
          <w:sz w:val="30"/>
          <w:szCs w:val="30"/>
          <w:highlight w:val="none"/>
        </w:rPr>
        <w:t>进行处罚。</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 xml:space="preserve">第二十二条 </w:t>
      </w:r>
      <w:r>
        <w:rPr>
          <w:rFonts w:hint="eastAsia" w:ascii="仿宋" w:hAnsi="仿宋" w:eastAsia="仿宋" w:cs="仿宋"/>
          <w:kern w:val="0"/>
          <w:sz w:val="30"/>
          <w:szCs w:val="30"/>
          <w:highlight w:val="none"/>
        </w:rPr>
        <w:t>本管理制度由国家外汇管理局湖南省分局负责解释。</w:t>
      </w:r>
    </w:p>
    <w:p>
      <w:pPr>
        <w:widowControl/>
        <w:spacing w:before="100" w:beforeAutospacing="1" w:after="100" w:afterAutospacing="1"/>
        <w:jc w:val="left"/>
        <w:rPr>
          <w:rFonts w:hint="eastAsia" w:ascii="仿宋" w:hAnsi="仿宋" w:eastAsia="仿宋" w:cs="仿宋"/>
          <w:kern w:val="0"/>
          <w:sz w:val="30"/>
          <w:szCs w:val="30"/>
          <w:highlight w:val="none"/>
        </w:rPr>
      </w:pPr>
      <w:r>
        <w:rPr>
          <w:rFonts w:hint="eastAsia" w:ascii="仿宋" w:hAnsi="仿宋" w:eastAsia="仿宋" w:cs="仿宋"/>
          <w:b/>
          <w:bCs/>
          <w:kern w:val="0"/>
          <w:sz w:val="30"/>
          <w:szCs w:val="30"/>
          <w:highlight w:val="none"/>
        </w:rPr>
        <w:t>第二十三条</w:t>
      </w:r>
      <w:r>
        <w:rPr>
          <w:rFonts w:hint="eastAsia" w:ascii="仿宋" w:hAnsi="仿宋" w:eastAsia="仿宋" w:cs="仿宋"/>
          <w:kern w:val="0"/>
          <w:sz w:val="30"/>
          <w:szCs w:val="30"/>
          <w:highlight w:val="none"/>
        </w:rPr>
        <w:t xml:space="preserve"> 本管理制度自发布之日起施行</w:t>
      </w:r>
      <w:r>
        <w:rPr>
          <w:rFonts w:hint="eastAsia" w:ascii="仿宋" w:hAnsi="仿宋" w:eastAsia="仿宋" w:cs="仿宋"/>
          <w:kern w:val="0"/>
          <w:sz w:val="30"/>
          <w:szCs w:val="30"/>
          <w:highlight w:val="none"/>
          <w:lang w:val="en-US" w:eastAsia="zh-CN"/>
        </w:rPr>
        <w:t>,原《</w:t>
      </w:r>
      <w:r>
        <w:rPr>
          <w:rFonts w:hint="eastAsia" w:ascii="仿宋" w:hAnsi="仿宋" w:eastAsia="仿宋" w:cs="仿宋"/>
          <w:kern w:val="0"/>
          <w:sz w:val="30"/>
          <w:szCs w:val="30"/>
          <w:highlight w:val="none"/>
        </w:rPr>
        <w:t>湖南省国际收支统计间接申报“不申报、不解付”管理制度》</w:t>
      </w:r>
      <w:r>
        <w:rPr>
          <w:rFonts w:hint="eastAsia" w:ascii="仿宋" w:hAnsi="仿宋" w:eastAsia="仿宋" w:cs="仿宋"/>
          <w:kern w:val="0"/>
          <w:sz w:val="30"/>
          <w:szCs w:val="30"/>
          <w:highlight w:val="none"/>
          <w:lang w:val="en-US" w:eastAsia="zh-CN"/>
        </w:rPr>
        <w:t>（湘汇发〔2011〕5号）同时废止</w:t>
      </w:r>
      <w:r>
        <w:rPr>
          <w:rFonts w:hint="eastAsia" w:ascii="仿宋" w:hAnsi="仿宋" w:eastAsia="仿宋" w:cs="仿宋"/>
          <w:kern w:val="0"/>
          <w:sz w:val="30"/>
          <w:szCs w:val="30"/>
          <w:highlight w:val="none"/>
        </w:rPr>
        <w:t>。</w:t>
      </w:r>
    </w:p>
    <w:p>
      <w:pPr>
        <w:widowControl/>
        <w:spacing w:before="100" w:beforeAutospacing="1" w:after="100" w:afterAutospacing="1"/>
        <w:jc w:val="left"/>
        <w:rPr>
          <w:rFonts w:hint="eastAsia" w:ascii="仿宋" w:hAnsi="仿宋" w:eastAsia="仿宋" w:cs="仿宋"/>
          <w:kern w:val="0"/>
          <w:sz w:val="30"/>
          <w:szCs w:val="30"/>
          <w:highlight w:val="none"/>
        </w:rPr>
      </w:pPr>
    </w:p>
    <w:p>
      <w:pPr>
        <w:widowControl/>
        <w:spacing w:before="100" w:beforeAutospacing="1" w:after="100" w:afterAutospacing="1"/>
        <w:jc w:val="left"/>
        <w:rPr>
          <w:rFonts w:hint="eastAsia" w:ascii="仿宋" w:hAnsi="仿宋" w:eastAsia="仿宋" w:cs="仿宋"/>
          <w:kern w:val="0"/>
          <w:sz w:val="30"/>
          <w:szCs w:val="30"/>
          <w:highlight w:val="none"/>
        </w:rPr>
      </w:pPr>
    </w:p>
    <w:p>
      <w:pPr>
        <w:widowControl/>
        <w:spacing w:before="100" w:beforeAutospacing="1" w:after="100" w:afterAutospacing="1"/>
        <w:jc w:val="left"/>
        <w:rPr>
          <w:rFonts w:hint="eastAsia" w:ascii="仿宋" w:hAnsi="仿宋" w:eastAsia="仿宋" w:cs="仿宋"/>
          <w:kern w:val="0"/>
          <w:sz w:val="30"/>
          <w:szCs w:val="30"/>
          <w:highlight w:val="none"/>
        </w:rPr>
      </w:pPr>
    </w:p>
    <w:p>
      <w:pPr>
        <w:widowControl/>
        <w:spacing w:before="100" w:beforeAutospacing="1" w:after="100" w:afterAutospacing="1"/>
        <w:jc w:val="left"/>
        <w:rPr>
          <w:rFonts w:hint="eastAsia" w:ascii="仿宋" w:hAnsi="仿宋" w:eastAsia="仿宋" w:cs="仿宋"/>
          <w:kern w:val="0"/>
          <w:sz w:val="30"/>
          <w:szCs w:val="30"/>
          <w:highlight w:val="none"/>
        </w:rPr>
      </w:pPr>
    </w:p>
    <w:p>
      <w:pPr>
        <w:widowControl/>
        <w:spacing w:before="100" w:beforeAutospacing="1" w:after="100" w:afterAutospacing="1"/>
        <w:jc w:val="left"/>
        <w:rPr>
          <w:rFonts w:ascii="Tahoma" w:hAnsi="Tahoma" w:cs="Tahoma"/>
          <w:kern w:val="0"/>
          <w:sz w:val="30"/>
          <w:szCs w:val="30"/>
          <w:highlight w:val="none"/>
        </w:rPr>
      </w:pPr>
    </w:p>
    <w:p>
      <w:pPr>
        <w:widowControl/>
        <w:spacing w:before="100" w:beforeAutospacing="1" w:after="100" w:afterAutospacing="1"/>
        <w:jc w:val="left"/>
        <w:rPr>
          <w:rFonts w:ascii="Tahoma" w:hAnsi="Tahoma" w:cs="Tahoma"/>
          <w:kern w:val="0"/>
          <w:sz w:val="30"/>
          <w:szCs w:val="30"/>
          <w:highlight w:val="none"/>
        </w:rPr>
      </w:pPr>
      <w:r>
        <w:rPr>
          <w:rFonts w:ascii="Tahoma" w:hAnsi="Tahoma" w:cs="Tahoma"/>
          <w:kern w:val="0"/>
          <w:sz w:val="30"/>
          <w:szCs w:val="30"/>
          <w:highlight w:val="none"/>
        </w:rPr>
        <w:t>附件1.1</w:t>
      </w:r>
    </w:p>
    <w:p>
      <w:pPr>
        <w:widowControl/>
        <w:spacing w:before="100" w:beforeAutospacing="1" w:after="100" w:afterAutospacing="1"/>
        <w:jc w:val="center"/>
        <w:rPr>
          <w:rFonts w:hint="eastAsia" w:ascii="黑体" w:hAnsi="黑体" w:eastAsia="黑体" w:cs="黑体"/>
          <w:kern w:val="0"/>
          <w:sz w:val="36"/>
          <w:szCs w:val="36"/>
          <w:highlight w:val="none"/>
        </w:rPr>
      </w:pPr>
      <w:r>
        <w:rPr>
          <w:rFonts w:hint="eastAsia" w:ascii="黑体" w:hAnsi="黑体" w:eastAsia="黑体" w:cs="黑体"/>
          <w:kern w:val="0"/>
          <w:sz w:val="36"/>
          <w:szCs w:val="36"/>
          <w:highlight w:val="none"/>
        </w:rPr>
        <w:t>（银行）机构申报主体逾期未申报名单</w:t>
      </w:r>
    </w:p>
    <w:p>
      <w:pPr>
        <w:widowControl/>
        <w:spacing w:before="100" w:beforeAutospacing="1" w:after="100" w:afterAutospacing="1"/>
        <w:jc w:val="center"/>
        <w:rPr>
          <w:rFonts w:ascii="Tahoma" w:hAnsi="Tahoma" w:cs="Tahoma"/>
          <w:kern w:val="0"/>
          <w:sz w:val="30"/>
          <w:szCs w:val="30"/>
          <w:highlight w:val="none"/>
        </w:rPr>
      </w:pPr>
      <w:r>
        <w:rPr>
          <w:rFonts w:ascii="Tahoma" w:hAnsi="Tahoma" w:cs="Tahoma"/>
          <w:kern w:val="0"/>
          <w:sz w:val="30"/>
          <w:szCs w:val="30"/>
          <w:highlight w:val="none"/>
        </w:rPr>
        <w:t>年 月</w:t>
      </w:r>
    </w:p>
    <w:p>
      <w:pPr>
        <w:widowControl/>
        <w:spacing w:before="100" w:beforeAutospacing="1" w:after="100" w:afterAutospacing="1"/>
        <w:jc w:val="center"/>
        <w:rPr>
          <w:rFonts w:ascii="Tahoma" w:hAnsi="Tahoma" w:cs="Tahoma"/>
          <w:kern w:val="0"/>
          <w:sz w:val="30"/>
          <w:szCs w:val="30"/>
          <w:highlight w:val="none"/>
        </w:rPr>
      </w:pPr>
      <w:r>
        <w:rPr>
          <w:rFonts w:ascii="Tahoma" w:hAnsi="Tahoma" w:cs="Tahoma"/>
          <w:kern w:val="0"/>
          <w:sz w:val="30"/>
          <w:szCs w:val="30"/>
          <w:highlight w:val="none"/>
        </w:rPr>
        <w:t>填报银行（盖章）： 单位：美元</w:t>
      </w:r>
    </w:p>
    <w:tbl>
      <w:tblPr>
        <w:tblStyle w:val="2"/>
        <w:tblW w:w="11051" w:type="dxa"/>
        <w:jc w:val="center"/>
        <w:tblLayout w:type="fixed"/>
        <w:tblCellMar>
          <w:top w:w="0" w:type="dxa"/>
          <w:left w:w="0" w:type="dxa"/>
          <w:bottom w:w="0" w:type="dxa"/>
          <w:right w:w="0" w:type="dxa"/>
        </w:tblCellMar>
      </w:tblPr>
      <w:tblGrid>
        <w:gridCol w:w="519"/>
        <w:gridCol w:w="1031"/>
        <w:gridCol w:w="1432"/>
        <w:gridCol w:w="1610"/>
        <w:gridCol w:w="1967"/>
        <w:gridCol w:w="1610"/>
        <w:gridCol w:w="1610"/>
        <w:gridCol w:w="1272"/>
      </w:tblGrid>
      <w:tr>
        <w:tblPrEx>
          <w:tblCellMar>
            <w:top w:w="0" w:type="dxa"/>
            <w:left w:w="0" w:type="dxa"/>
            <w:bottom w:w="0" w:type="dxa"/>
            <w:right w:w="0" w:type="dxa"/>
          </w:tblCellMar>
        </w:tblPrEx>
        <w:trPr>
          <w:trHeight w:val="870" w:hRule="atLeast"/>
          <w:jc w:val="center"/>
        </w:trPr>
        <w:tc>
          <w:tcPr>
            <w:tcW w:w="519"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30"/>
                <w:szCs w:val="30"/>
                <w:highlight w:val="none"/>
              </w:rPr>
            </w:pPr>
            <w:r>
              <w:rPr>
                <w:rFonts w:ascii="宋体" w:hAnsi="宋体" w:cs="宋体"/>
                <w:b/>
                <w:bCs/>
                <w:kern w:val="0"/>
                <w:sz w:val="30"/>
                <w:szCs w:val="30"/>
                <w:highlight w:val="none"/>
              </w:rPr>
              <w:t>序</w:t>
            </w:r>
          </w:p>
          <w:p>
            <w:pPr>
              <w:widowControl/>
              <w:spacing w:before="100" w:beforeAutospacing="1" w:after="100" w:afterAutospacing="1"/>
              <w:jc w:val="center"/>
              <w:rPr>
                <w:rFonts w:ascii="宋体" w:hAnsi="宋体" w:cs="宋体"/>
                <w:kern w:val="0"/>
                <w:sz w:val="30"/>
                <w:szCs w:val="30"/>
                <w:highlight w:val="none"/>
              </w:rPr>
            </w:pPr>
            <w:r>
              <w:rPr>
                <w:rFonts w:ascii="宋体" w:hAnsi="宋体" w:cs="宋体"/>
                <w:b/>
                <w:bCs/>
                <w:kern w:val="0"/>
                <w:sz w:val="30"/>
                <w:szCs w:val="30"/>
                <w:highlight w:val="none"/>
              </w:rPr>
              <w:t>号</w:t>
            </w:r>
          </w:p>
        </w:tc>
        <w:tc>
          <w:tcPr>
            <w:tcW w:w="1031"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30"/>
                <w:szCs w:val="30"/>
                <w:highlight w:val="none"/>
              </w:rPr>
            </w:pPr>
            <w:r>
              <w:rPr>
                <w:rFonts w:ascii="宋体" w:hAnsi="宋体" w:cs="宋体"/>
                <w:b/>
                <w:bCs/>
                <w:kern w:val="0"/>
                <w:sz w:val="30"/>
                <w:szCs w:val="30"/>
                <w:highlight w:val="none"/>
              </w:rPr>
              <w:t>收汇</w:t>
            </w:r>
          </w:p>
          <w:p>
            <w:pPr>
              <w:widowControl/>
              <w:spacing w:before="100" w:beforeAutospacing="1" w:after="100" w:afterAutospacing="1"/>
              <w:jc w:val="center"/>
              <w:rPr>
                <w:rFonts w:ascii="宋体" w:hAnsi="宋体" w:cs="宋体"/>
                <w:kern w:val="0"/>
                <w:sz w:val="30"/>
                <w:szCs w:val="30"/>
                <w:highlight w:val="none"/>
              </w:rPr>
            </w:pPr>
            <w:r>
              <w:rPr>
                <w:rFonts w:ascii="宋体" w:hAnsi="宋体" w:cs="宋体"/>
                <w:b/>
                <w:bCs/>
                <w:kern w:val="0"/>
                <w:sz w:val="30"/>
                <w:szCs w:val="30"/>
                <w:highlight w:val="none"/>
              </w:rPr>
              <w:t>日期</w:t>
            </w:r>
          </w:p>
        </w:tc>
        <w:tc>
          <w:tcPr>
            <w:tcW w:w="1432"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30"/>
                <w:szCs w:val="30"/>
                <w:highlight w:val="none"/>
              </w:rPr>
            </w:pPr>
            <w:r>
              <w:rPr>
                <w:rFonts w:ascii="宋体" w:hAnsi="宋体" w:cs="宋体"/>
                <w:b/>
                <w:bCs/>
                <w:kern w:val="0"/>
                <w:sz w:val="30"/>
                <w:szCs w:val="30"/>
                <w:highlight w:val="none"/>
              </w:rPr>
              <w:t>机构代码</w:t>
            </w:r>
          </w:p>
        </w:tc>
        <w:tc>
          <w:tcPr>
            <w:tcW w:w="1610"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30"/>
                <w:szCs w:val="30"/>
                <w:highlight w:val="none"/>
              </w:rPr>
            </w:pPr>
            <w:r>
              <w:rPr>
                <w:rFonts w:ascii="宋体" w:hAnsi="宋体" w:cs="宋体"/>
                <w:b/>
                <w:bCs/>
                <w:kern w:val="0"/>
                <w:sz w:val="30"/>
                <w:szCs w:val="30"/>
                <w:highlight w:val="none"/>
              </w:rPr>
              <w:t>机构名称</w:t>
            </w:r>
          </w:p>
        </w:tc>
        <w:tc>
          <w:tcPr>
            <w:tcW w:w="1967"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30"/>
                <w:szCs w:val="30"/>
                <w:highlight w:val="none"/>
              </w:rPr>
            </w:pPr>
            <w:r>
              <w:rPr>
                <w:rFonts w:ascii="宋体" w:hAnsi="宋体" w:cs="宋体"/>
                <w:b/>
                <w:bCs/>
                <w:kern w:val="0"/>
                <w:sz w:val="30"/>
                <w:szCs w:val="30"/>
                <w:highlight w:val="none"/>
              </w:rPr>
              <w:t>申报单号码</w:t>
            </w:r>
          </w:p>
        </w:tc>
        <w:tc>
          <w:tcPr>
            <w:tcW w:w="1610"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30"/>
                <w:szCs w:val="30"/>
                <w:highlight w:val="none"/>
              </w:rPr>
            </w:pPr>
            <w:r>
              <w:rPr>
                <w:rFonts w:ascii="宋体" w:hAnsi="宋体" w:cs="宋体"/>
                <w:b/>
                <w:bCs/>
                <w:kern w:val="0"/>
                <w:sz w:val="30"/>
                <w:szCs w:val="30"/>
                <w:highlight w:val="none"/>
              </w:rPr>
              <w:t>逾期未申报金额</w:t>
            </w:r>
          </w:p>
        </w:tc>
        <w:tc>
          <w:tcPr>
            <w:tcW w:w="1610"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30"/>
                <w:szCs w:val="30"/>
                <w:highlight w:val="none"/>
              </w:rPr>
            </w:pPr>
            <w:r>
              <w:rPr>
                <w:rFonts w:ascii="宋体" w:hAnsi="宋体" w:cs="宋体"/>
                <w:b/>
                <w:bCs/>
                <w:kern w:val="0"/>
                <w:sz w:val="30"/>
                <w:szCs w:val="30"/>
                <w:highlight w:val="none"/>
              </w:rPr>
              <w:t>折美元</w:t>
            </w:r>
          </w:p>
        </w:tc>
        <w:tc>
          <w:tcPr>
            <w:tcW w:w="1272"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30"/>
                <w:szCs w:val="30"/>
                <w:highlight w:val="none"/>
              </w:rPr>
            </w:pPr>
            <w:r>
              <w:rPr>
                <w:rFonts w:ascii="宋体" w:hAnsi="宋体" w:cs="宋体"/>
                <w:b/>
                <w:bCs/>
                <w:kern w:val="0"/>
                <w:sz w:val="30"/>
                <w:szCs w:val="30"/>
                <w:highlight w:val="none"/>
              </w:rPr>
              <w:t>逾期天数</w:t>
            </w:r>
          </w:p>
        </w:tc>
      </w:tr>
      <w:tr>
        <w:tblPrEx>
          <w:tblCellMar>
            <w:top w:w="0" w:type="dxa"/>
            <w:left w:w="0" w:type="dxa"/>
            <w:bottom w:w="0" w:type="dxa"/>
            <w:right w:w="0" w:type="dxa"/>
          </w:tblCellMar>
        </w:tblPrEx>
        <w:trPr>
          <w:trHeight w:val="720" w:hRule="atLeast"/>
          <w:jc w:val="center"/>
        </w:trPr>
        <w:tc>
          <w:tcPr>
            <w:tcW w:w="519"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031"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432"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61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96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61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61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272"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r>
      <w:tr>
        <w:tblPrEx>
          <w:tblCellMar>
            <w:top w:w="0" w:type="dxa"/>
            <w:left w:w="0" w:type="dxa"/>
            <w:bottom w:w="0" w:type="dxa"/>
            <w:right w:w="0" w:type="dxa"/>
          </w:tblCellMar>
        </w:tblPrEx>
        <w:trPr>
          <w:trHeight w:val="720" w:hRule="atLeast"/>
          <w:jc w:val="center"/>
        </w:trPr>
        <w:tc>
          <w:tcPr>
            <w:tcW w:w="519"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031"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432"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61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96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61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61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272"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r>
      <w:tr>
        <w:tblPrEx>
          <w:tblCellMar>
            <w:top w:w="0" w:type="dxa"/>
            <w:left w:w="0" w:type="dxa"/>
            <w:bottom w:w="0" w:type="dxa"/>
            <w:right w:w="0" w:type="dxa"/>
          </w:tblCellMar>
        </w:tblPrEx>
        <w:trPr>
          <w:trHeight w:val="720" w:hRule="atLeast"/>
          <w:jc w:val="center"/>
        </w:trPr>
        <w:tc>
          <w:tcPr>
            <w:tcW w:w="519"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031"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432"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61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96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61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61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c>
          <w:tcPr>
            <w:tcW w:w="1272"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宋体" w:hAnsi="宋体" w:cs="宋体"/>
                <w:kern w:val="0"/>
                <w:sz w:val="30"/>
                <w:szCs w:val="30"/>
                <w:highlight w:val="none"/>
              </w:rPr>
            </w:pPr>
          </w:p>
        </w:tc>
      </w:tr>
    </w:tbl>
    <w:p>
      <w:pPr>
        <w:widowControl/>
        <w:snapToGrid w:val="0"/>
        <w:spacing w:before="100" w:beforeAutospacing="1" w:after="100" w:afterAutospacing="1"/>
        <w:jc w:val="both"/>
        <w:rPr>
          <w:rFonts w:ascii="Tahoma" w:hAnsi="Tahoma" w:cs="Tahoma"/>
          <w:kern w:val="0"/>
          <w:sz w:val="30"/>
          <w:szCs w:val="30"/>
          <w:highlight w:val="none"/>
        </w:rPr>
      </w:pPr>
      <w:r>
        <w:rPr>
          <w:rFonts w:ascii="Tahoma" w:hAnsi="Tahoma" w:cs="Tahoma"/>
          <w:kern w:val="0"/>
          <w:sz w:val="30"/>
          <w:szCs w:val="30"/>
          <w:highlight w:val="none"/>
        </w:rPr>
        <w:t xml:space="preserve">经办： </w:t>
      </w:r>
      <w:r>
        <w:rPr>
          <w:rFonts w:hint="eastAsia" w:ascii="Tahoma" w:hAnsi="Tahoma" w:cs="Tahoma"/>
          <w:kern w:val="0"/>
          <w:sz w:val="30"/>
          <w:szCs w:val="30"/>
          <w:highlight w:val="none"/>
          <w:lang w:val="en-US" w:eastAsia="zh-CN"/>
        </w:rPr>
        <w:t xml:space="preserve">                                       </w:t>
      </w:r>
      <w:r>
        <w:rPr>
          <w:rFonts w:ascii="Tahoma" w:hAnsi="Tahoma" w:cs="Tahoma"/>
          <w:kern w:val="0"/>
          <w:sz w:val="30"/>
          <w:szCs w:val="30"/>
          <w:highlight w:val="none"/>
        </w:rPr>
        <w:t>复核：</w:t>
      </w:r>
    </w:p>
    <w:p>
      <w:pPr>
        <w:widowControl/>
        <w:spacing w:before="100" w:beforeAutospacing="1" w:after="100" w:afterAutospacing="1"/>
        <w:jc w:val="left"/>
        <w:rPr>
          <w:rFonts w:ascii="Tahoma" w:hAnsi="Tahoma" w:cs="Tahoma"/>
          <w:kern w:val="0"/>
          <w:sz w:val="30"/>
          <w:szCs w:val="30"/>
          <w:highlight w:val="none"/>
        </w:rPr>
      </w:pPr>
      <w:r>
        <w:rPr>
          <w:rFonts w:ascii="Tahoma" w:hAnsi="Tahoma" w:cs="Tahoma"/>
          <w:kern w:val="0"/>
          <w:sz w:val="30"/>
          <w:szCs w:val="30"/>
          <w:highlight w:val="none"/>
        </w:rPr>
        <w:t>备注：折美元按当月《各种货币对美元折算率表》进行折算。</w:t>
      </w:r>
    </w:p>
    <w:p>
      <w:pPr>
        <w:widowControl/>
        <w:spacing w:before="100" w:beforeAutospacing="1" w:after="100" w:afterAutospacing="1"/>
        <w:jc w:val="right"/>
        <w:rPr>
          <w:rFonts w:ascii="Tahoma" w:hAnsi="Tahoma" w:cs="Tahoma"/>
          <w:kern w:val="0"/>
          <w:sz w:val="30"/>
          <w:szCs w:val="30"/>
          <w:highlight w:val="none"/>
        </w:rPr>
      </w:pPr>
      <w:r>
        <w:rPr>
          <w:rFonts w:ascii="Tahoma" w:hAnsi="Tahoma" w:cs="Tahoma"/>
          <w:kern w:val="0"/>
          <w:sz w:val="30"/>
          <w:szCs w:val="30"/>
          <w:highlight w:val="none"/>
        </w:rPr>
        <w:t>（外汇指定银行） /（</w:t>
      </w:r>
      <w:r>
        <w:rPr>
          <w:rFonts w:hint="eastAsia" w:ascii="Tahoma" w:hAnsi="Tahoma" w:cs="Tahoma"/>
          <w:kern w:val="0"/>
          <w:sz w:val="30"/>
          <w:szCs w:val="30"/>
          <w:highlight w:val="none"/>
          <w:lang w:eastAsia="zh-CN"/>
        </w:rPr>
        <w:t>分局</w:t>
      </w:r>
      <w:r>
        <w:rPr>
          <w:rFonts w:ascii="Tahoma" w:hAnsi="Tahoma" w:cs="Tahoma"/>
          <w:kern w:val="0"/>
          <w:sz w:val="30"/>
          <w:szCs w:val="30"/>
          <w:highlight w:val="none"/>
        </w:rPr>
        <w:t xml:space="preserve">） </w:t>
      </w:r>
    </w:p>
    <w:p>
      <w:pPr>
        <w:widowControl/>
        <w:wordWrap w:val="0"/>
        <w:spacing w:before="100" w:beforeAutospacing="1" w:after="100" w:afterAutospacing="1"/>
        <w:jc w:val="right"/>
        <w:rPr>
          <w:rFonts w:ascii="Tahoma" w:hAnsi="Tahoma" w:cs="Tahoma"/>
          <w:kern w:val="0"/>
          <w:sz w:val="30"/>
          <w:szCs w:val="30"/>
          <w:highlight w:val="none"/>
        </w:rPr>
      </w:pPr>
      <w:r>
        <w:rPr>
          <w:rFonts w:ascii="Tahoma" w:hAnsi="Tahoma" w:cs="Tahoma"/>
          <w:kern w:val="0"/>
          <w:sz w:val="30"/>
          <w:szCs w:val="30"/>
          <w:highlight w:val="none"/>
        </w:rPr>
        <w:t xml:space="preserve">年 月 日 </w:t>
      </w:r>
    </w:p>
    <w:p>
      <w:pPr>
        <w:widowControl/>
        <w:snapToGrid w:val="0"/>
        <w:spacing w:before="100" w:beforeAutospacing="1" w:after="100" w:afterAutospacing="1" w:line="360" w:lineRule="auto"/>
        <w:jc w:val="left"/>
        <w:rPr>
          <w:rFonts w:ascii="Tahoma" w:hAnsi="Tahoma" w:cs="Tahoma"/>
          <w:kern w:val="0"/>
          <w:sz w:val="30"/>
          <w:szCs w:val="30"/>
          <w:highlight w:val="none"/>
        </w:rPr>
      </w:pPr>
    </w:p>
    <w:p>
      <w:pPr>
        <w:widowControl/>
        <w:snapToGrid w:val="0"/>
        <w:spacing w:before="100" w:beforeAutospacing="1" w:after="100" w:afterAutospacing="1" w:line="360" w:lineRule="auto"/>
        <w:ind w:firstLine="0" w:firstLineChars="0"/>
        <w:jc w:val="left"/>
        <w:rPr>
          <w:rFonts w:ascii="Tahoma" w:hAnsi="Tahoma" w:cs="Tahoma"/>
          <w:kern w:val="0"/>
          <w:sz w:val="30"/>
          <w:szCs w:val="30"/>
          <w:highlight w:val="none"/>
        </w:rPr>
      </w:pPr>
    </w:p>
    <w:p>
      <w:pPr>
        <w:widowControl/>
        <w:snapToGrid w:val="0"/>
        <w:spacing w:before="100" w:beforeAutospacing="1" w:after="100" w:afterAutospacing="1" w:line="360" w:lineRule="auto"/>
        <w:ind w:firstLine="0" w:firstLineChars="0"/>
        <w:jc w:val="left"/>
        <w:rPr>
          <w:rFonts w:ascii="Tahoma" w:hAnsi="Tahoma" w:cs="Tahoma"/>
          <w:kern w:val="0"/>
          <w:sz w:val="30"/>
          <w:szCs w:val="30"/>
          <w:highlight w:val="none"/>
        </w:rPr>
      </w:pPr>
    </w:p>
    <w:p>
      <w:pPr>
        <w:widowControl/>
        <w:snapToGrid w:val="0"/>
        <w:spacing w:before="100" w:beforeAutospacing="1" w:after="100" w:afterAutospacing="1" w:line="360" w:lineRule="auto"/>
        <w:ind w:firstLine="0" w:firstLineChars="0"/>
        <w:jc w:val="left"/>
        <w:rPr>
          <w:rFonts w:ascii="Tahoma" w:hAnsi="Tahoma" w:cs="Tahoma"/>
          <w:kern w:val="0"/>
          <w:sz w:val="30"/>
          <w:szCs w:val="30"/>
          <w:highlight w:val="none"/>
        </w:rPr>
      </w:pPr>
    </w:p>
    <w:p>
      <w:pPr>
        <w:widowControl/>
        <w:snapToGrid w:val="0"/>
        <w:spacing w:before="100" w:beforeAutospacing="1" w:after="100" w:afterAutospacing="1" w:line="360" w:lineRule="auto"/>
        <w:ind w:firstLine="0" w:firstLineChars="0"/>
        <w:jc w:val="left"/>
        <w:rPr>
          <w:rFonts w:ascii="Tahoma" w:hAnsi="Tahoma" w:cs="Tahoma"/>
          <w:kern w:val="0"/>
          <w:sz w:val="30"/>
          <w:szCs w:val="30"/>
          <w:highlight w:val="none"/>
        </w:rPr>
      </w:pPr>
      <w:r>
        <w:rPr>
          <w:rFonts w:ascii="Tahoma" w:hAnsi="Tahoma" w:cs="Tahoma"/>
          <w:kern w:val="0"/>
          <w:sz w:val="30"/>
          <w:szCs w:val="30"/>
          <w:highlight w:val="none"/>
        </w:rPr>
        <w:t>附件1.2</w:t>
      </w:r>
    </w:p>
    <w:p>
      <w:pPr>
        <w:widowControl/>
        <w:snapToGrid w:val="0"/>
        <w:spacing w:before="100" w:beforeAutospacing="1" w:after="100" w:afterAutospacing="1" w:line="360" w:lineRule="auto"/>
        <w:jc w:val="center"/>
        <w:rPr>
          <w:rFonts w:hint="eastAsia" w:ascii="黑体" w:hAnsi="黑体" w:eastAsia="黑体" w:cs="黑体"/>
          <w:kern w:val="0"/>
          <w:sz w:val="36"/>
          <w:szCs w:val="36"/>
          <w:highlight w:val="none"/>
        </w:rPr>
      </w:pPr>
      <w:r>
        <w:rPr>
          <w:rFonts w:hint="eastAsia" w:ascii="黑体" w:hAnsi="黑体" w:eastAsia="黑体" w:cs="黑体"/>
          <w:kern w:val="0"/>
          <w:sz w:val="36"/>
          <w:szCs w:val="36"/>
          <w:highlight w:val="none"/>
        </w:rPr>
        <w:t>关于对机构申报主体执行“不申报、不解付”</w:t>
      </w:r>
    </w:p>
    <w:p>
      <w:pPr>
        <w:widowControl/>
        <w:snapToGrid w:val="0"/>
        <w:spacing w:before="100" w:beforeAutospacing="1" w:after="100" w:afterAutospacing="1" w:line="360" w:lineRule="auto"/>
        <w:jc w:val="center"/>
        <w:rPr>
          <w:rFonts w:hint="eastAsia" w:ascii="黑体" w:hAnsi="黑体" w:eastAsia="黑体" w:cs="黑体"/>
          <w:kern w:val="0"/>
          <w:sz w:val="36"/>
          <w:szCs w:val="36"/>
          <w:highlight w:val="none"/>
        </w:rPr>
      </w:pPr>
      <w:r>
        <w:rPr>
          <w:rFonts w:hint="eastAsia" w:ascii="黑体" w:hAnsi="黑体" w:eastAsia="黑体" w:cs="黑体"/>
          <w:kern w:val="0"/>
          <w:sz w:val="36"/>
          <w:szCs w:val="36"/>
          <w:highlight w:val="none"/>
        </w:rPr>
        <w:t>特殊处理措施机构名单的通报</w:t>
      </w:r>
    </w:p>
    <w:p>
      <w:pPr>
        <w:widowControl/>
        <w:jc w:val="left"/>
        <w:rPr>
          <w:rFonts w:ascii="Tahoma" w:hAnsi="Tahoma" w:cs="Tahoma"/>
          <w:kern w:val="0"/>
          <w:sz w:val="30"/>
          <w:szCs w:val="30"/>
          <w:highlight w:val="none"/>
        </w:rPr>
      </w:pPr>
    </w:p>
    <w:p>
      <w:pPr>
        <w:widowControl/>
        <w:snapToGrid w:val="0"/>
        <w:spacing w:before="100" w:beforeAutospacing="1" w:after="100" w:afterAutospacing="1" w:line="360" w:lineRule="auto"/>
        <w:jc w:val="left"/>
        <w:rPr>
          <w:rFonts w:ascii="Tahoma" w:hAnsi="Tahoma" w:cs="Tahoma"/>
          <w:kern w:val="0"/>
          <w:sz w:val="30"/>
          <w:szCs w:val="30"/>
          <w:highlight w:val="none"/>
        </w:rPr>
      </w:pPr>
      <w:r>
        <w:rPr>
          <w:rFonts w:ascii="Tahoma" w:hAnsi="Tahoma" w:cs="Tahoma"/>
          <w:kern w:val="0"/>
          <w:sz w:val="30"/>
          <w:szCs w:val="30"/>
          <w:highlight w:val="none"/>
        </w:rPr>
        <w:t>辖内各</w:t>
      </w:r>
      <w:r>
        <w:rPr>
          <w:rFonts w:hint="eastAsia" w:ascii="Tahoma" w:hAnsi="Tahoma" w:cs="Tahoma"/>
          <w:kern w:val="0"/>
          <w:sz w:val="30"/>
          <w:szCs w:val="30"/>
          <w:highlight w:val="none"/>
          <w:lang w:eastAsia="zh-CN"/>
        </w:rPr>
        <w:t>分局</w:t>
      </w:r>
      <w:r>
        <w:rPr>
          <w:rFonts w:ascii="Tahoma" w:hAnsi="Tahoma" w:cs="Tahoma"/>
          <w:kern w:val="0"/>
          <w:sz w:val="30"/>
          <w:szCs w:val="30"/>
          <w:highlight w:val="none"/>
        </w:rPr>
        <w:t>；各外汇指定银行：</w:t>
      </w:r>
    </w:p>
    <w:p>
      <w:pPr>
        <w:widowControl/>
        <w:snapToGrid w:val="0"/>
        <w:spacing w:before="100" w:beforeAutospacing="1" w:after="100" w:afterAutospacing="1" w:line="360" w:lineRule="auto"/>
        <w:ind w:firstLine="600" w:firstLineChars="200"/>
        <w:jc w:val="left"/>
        <w:rPr>
          <w:rFonts w:ascii="Tahoma" w:hAnsi="Tahoma" w:cs="Tahoma"/>
          <w:kern w:val="0"/>
          <w:sz w:val="30"/>
          <w:szCs w:val="30"/>
          <w:highlight w:val="none"/>
        </w:rPr>
      </w:pPr>
      <w:r>
        <w:rPr>
          <w:rFonts w:ascii="Tahoma" w:hAnsi="Tahoma" w:cs="Tahoma"/>
          <w:kern w:val="0"/>
          <w:sz w:val="30"/>
          <w:szCs w:val="30"/>
          <w:highlight w:val="none"/>
        </w:rPr>
        <w:t>根据《</w:t>
      </w:r>
      <w:r>
        <w:rPr>
          <w:rFonts w:hint="eastAsia" w:ascii="Tahoma" w:hAnsi="Tahoma" w:cs="Tahoma"/>
          <w:kern w:val="0"/>
          <w:sz w:val="30"/>
          <w:szCs w:val="30"/>
          <w:highlight w:val="none"/>
          <w:lang w:eastAsia="zh-CN"/>
        </w:rPr>
        <w:t>国际收支统计申报办法</w:t>
      </w:r>
      <w:r>
        <w:rPr>
          <w:rFonts w:ascii="Tahoma" w:hAnsi="Tahoma" w:cs="Tahoma"/>
          <w:kern w:val="0"/>
          <w:sz w:val="30"/>
          <w:szCs w:val="30"/>
          <w:highlight w:val="none"/>
        </w:rPr>
        <w:t>》和《</w:t>
      </w:r>
      <w:r>
        <w:rPr>
          <w:rFonts w:hint="eastAsia" w:ascii="Tahoma" w:hAnsi="Tahoma" w:cs="Tahoma"/>
          <w:kern w:val="0"/>
          <w:sz w:val="30"/>
          <w:szCs w:val="30"/>
          <w:highlight w:val="none"/>
          <w:lang w:eastAsia="zh-CN"/>
        </w:rPr>
        <w:t>通过银行进行国际收支统计申报业务实施细则</w:t>
      </w:r>
      <w:r>
        <w:rPr>
          <w:rFonts w:ascii="Tahoma" w:hAnsi="Tahoma" w:cs="Tahoma"/>
          <w:kern w:val="0"/>
          <w:sz w:val="30"/>
          <w:szCs w:val="30"/>
          <w:highlight w:val="none"/>
        </w:rPr>
        <w:t>》的有关规定，以下机构申报主体未按规定履行申报义务，我分局决定对其执行“不申报、不解付”特殊处理措施（具体名单如下）。</w:t>
      </w:r>
    </w:p>
    <w:p>
      <w:pPr>
        <w:widowControl/>
        <w:snapToGrid w:val="0"/>
        <w:spacing w:before="100" w:beforeAutospacing="1" w:after="100" w:afterAutospacing="1" w:line="360" w:lineRule="auto"/>
        <w:jc w:val="left"/>
        <w:rPr>
          <w:rFonts w:ascii="Tahoma" w:hAnsi="Tahoma" w:cs="Tahoma"/>
          <w:kern w:val="0"/>
          <w:sz w:val="30"/>
          <w:szCs w:val="30"/>
          <w:highlight w:val="none"/>
        </w:rPr>
      </w:pPr>
      <w:r>
        <w:rPr>
          <w:rFonts w:ascii="Tahoma" w:hAnsi="Tahoma" w:cs="Tahoma"/>
          <w:kern w:val="0"/>
          <w:sz w:val="30"/>
          <w:szCs w:val="30"/>
          <w:highlight w:val="none"/>
        </w:rPr>
        <w:t>特此通报。</w:t>
      </w:r>
    </w:p>
    <w:tbl>
      <w:tblPr>
        <w:tblStyle w:val="2"/>
        <w:tblW w:w="6710" w:type="dxa"/>
        <w:jc w:val="center"/>
        <w:tblLayout w:type="fixed"/>
        <w:tblCellMar>
          <w:top w:w="0" w:type="dxa"/>
          <w:left w:w="0" w:type="dxa"/>
          <w:bottom w:w="0" w:type="dxa"/>
          <w:right w:w="0" w:type="dxa"/>
        </w:tblCellMar>
      </w:tblPr>
      <w:tblGrid>
        <w:gridCol w:w="2070"/>
        <w:gridCol w:w="4640"/>
      </w:tblGrid>
      <w:tr>
        <w:tblPrEx>
          <w:tblCellMar>
            <w:top w:w="0" w:type="dxa"/>
            <w:left w:w="0" w:type="dxa"/>
            <w:bottom w:w="0" w:type="dxa"/>
            <w:right w:w="0" w:type="dxa"/>
          </w:tblCellMar>
        </w:tblPrEx>
        <w:trPr>
          <w:jc w:val="center"/>
        </w:trPr>
        <w:tc>
          <w:tcPr>
            <w:tcW w:w="2070"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snapToGrid w:val="0"/>
              <w:spacing w:before="100" w:beforeAutospacing="1" w:after="100" w:afterAutospacing="1" w:line="360" w:lineRule="auto"/>
              <w:jc w:val="left"/>
              <w:rPr>
                <w:rFonts w:ascii="宋体" w:hAnsi="宋体" w:cs="宋体"/>
                <w:kern w:val="0"/>
                <w:sz w:val="30"/>
                <w:szCs w:val="30"/>
                <w:highlight w:val="none"/>
              </w:rPr>
            </w:pPr>
            <w:r>
              <w:rPr>
                <w:rFonts w:ascii="宋体" w:hAnsi="宋体" w:cs="宋体"/>
                <w:kern w:val="0"/>
                <w:sz w:val="30"/>
                <w:szCs w:val="30"/>
                <w:highlight w:val="none"/>
              </w:rPr>
              <w:t>机构代码</w:t>
            </w:r>
          </w:p>
        </w:tc>
        <w:tc>
          <w:tcPr>
            <w:tcW w:w="4640"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snapToGrid w:val="0"/>
              <w:spacing w:before="100" w:beforeAutospacing="1" w:after="100" w:afterAutospacing="1" w:line="360" w:lineRule="auto"/>
              <w:jc w:val="left"/>
              <w:rPr>
                <w:rFonts w:ascii="宋体" w:hAnsi="宋体" w:cs="宋体"/>
                <w:kern w:val="0"/>
                <w:sz w:val="30"/>
                <w:szCs w:val="30"/>
                <w:highlight w:val="none"/>
              </w:rPr>
            </w:pPr>
            <w:r>
              <w:rPr>
                <w:rFonts w:ascii="宋体" w:hAnsi="宋体" w:cs="宋体"/>
                <w:kern w:val="0"/>
                <w:sz w:val="30"/>
                <w:szCs w:val="30"/>
                <w:highlight w:val="none"/>
              </w:rPr>
              <w:t>机构名称</w:t>
            </w:r>
          </w:p>
        </w:tc>
      </w:tr>
      <w:tr>
        <w:tblPrEx>
          <w:tblCellMar>
            <w:top w:w="0" w:type="dxa"/>
            <w:left w:w="0" w:type="dxa"/>
            <w:bottom w:w="0" w:type="dxa"/>
            <w:right w:w="0" w:type="dxa"/>
          </w:tblCellMar>
        </w:tblPrEx>
        <w:trPr>
          <w:jc w:val="center"/>
        </w:trPr>
        <w:tc>
          <w:tcPr>
            <w:tcW w:w="2070"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left"/>
              <w:rPr>
                <w:rFonts w:ascii="宋体" w:hAnsi="宋体" w:cs="宋体"/>
                <w:kern w:val="0"/>
                <w:sz w:val="30"/>
                <w:szCs w:val="30"/>
                <w:highlight w:val="none"/>
              </w:rPr>
            </w:pPr>
          </w:p>
        </w:tc>
        <w:tc>
          <w:tcPr>
            <w:tcW w:w="464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left"/>
              <w:rPr>
                <w:rFonts w:ascii="宋体" w:hAnsi="宋体" w:cs="宋体"/>
                <w:kern w:val="0"/>
                <w:sz w:val="30"/>
                <w:szCs w:val="30"/>
                <w:highlight w:val="none"/>
              </w:rPr>
            </w:pPr>
          </w:p>
        </w:tc>
      </w:tr>
      <w:tr>
        <w:tblPrEx>
          <w:tblCellMar>
            <w:top w:w="0" w:type="dxa"/>
            <w:left w:w="0" w:type="dxa"/>
            <w:bottom w:w="0" w:type="dxa"/>
            <w:right w:w="0" w:type="dxa"/>
          </w:tblCellMar>
        </w:tblPrEx>
        <w:trPr>
          <w:jc w:val="center"/>
        </w:trPr>
        <w:tc>
          <w:tcPr>
            <w:tcW w:w="2070"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left"/>
              <w:rPr>
                <w:rFonts w:ascii="宋体" w:hAnsi="宋体" w:cs="宋体"/>
                <w:kern w:val="0"/>
                <w:sz w:val="30"/>
                <w:szCs w:val="30"/>
                <w:highlight w:val="none"/>
              </w:rPr>
            </w:pPr>
          </w:p>
        </w:tc>
        <w:tc>
          <w:tcPr>
            <w:tcW w:w="464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left"/>
              <w:rPr>
                <w:rFonts w:ascii="宋体" w:hAnsi="宋体" w:cs="宋体"/>
                <w:kern w:val="0"/>
                <w:sz w:val="30"/>
                <w:szCs w:val="30"/>
                <w:highlight w:val="none"/>
              </w:rPr>
            </w:pPr>
          </w:p>
        </w:tc>
      </w:tr>
      <w:tr>
        <w:tblPrEx>
          <w:tblCellMar>
            <w:top w:w="0" w:type="dxa"/>
            <w:left w:w="0" w:type="dxa"/>
            <w:bottom w:w="0" w:type="dxa"/>
            <w:right w:w="0" w:type="dxa"/>
          </w:tblCellMar>
        </w:tblPrEx>
        <w:trPr>
          <w:jc w:val="center"/>
        </w:trPr>
        <w:tc>
          <w:tcPr>
            <w:tcW w:w="2070"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left"/>
              <w:rPr>
                <w:rFonts w:ascii="宋体" w:hAnsi="宋体" w:cs="宋体"/>
                <w:kern w:val="0"/>
                <w:sz w:val="30"/>
                <w:szCs w:val="30"/>
                <w:highlight w:val="none"/>
              </w:rPr>
            </w:pPr>
          </w:p>
        </w:tc>
        <w:tc>
          <w:tcPr>
            <w:tcW w:w="464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left"/>
              <w:rPr>
                <w:rFonts w:ascii="宋体" w:hAnsi="宋体" w:cs="宋体"/>
                <w:kern w:val="0"/>
                <w:sz w:val="30"/>
                <w:szCs w:val="30"/>
                <w:highlight w:val="none"/>
              </w:rPr>
            </w:pPr>
          </w:p>
        </w:tc>
      </w:tr>
    </w:tbl>
    <w:p>
      <w:pPr>
        <w:widowControl/>
        <w:snapToGrid w:val="0"/>
        <w:spacing w:before="100" w:beforeAutospacing="1" w:after="100" w:afterAutospacing="1" w:line="360" w:lineRule="auto"/>
        <w:ind w:firstLine="4500" w:firstLineChars="1500"/>
        <w:jc w:val="left"/>
        <w:rPr>
          <w:rFonts w:ascii="Tahoma" w:hAnsi="Tahoma" w:cs="Tahoma"/>
          <w:kern w:val="0"/>
          <w:sz w:val="30"/>
          <w:szCs w:val="30"/>
          <w:highlight w:val="none"/>
        </w:rPr>
      </w:pPr>
    </w:p>
    <w:p>
      <w:pPr>
        <w:widowControl/>
        <w:snapToGrid w:val="0"/>
        <w:spacing w:before="100" w:beforeAutospacing="1" w:after="100" w:afterAutospacing="1" w:line="360" w:lineRule="auto"/>
        <w:ind w:firstLine="4500" w:firstLineChars="1500"/>
        <w:jc w:val="left"/>
        <w:rPr>
          <w:rFonts w:ascii="Tahoma" w:hAnsi="Tahoma" w:cs="Tahoma"/>
          <w:kern w:val="0"/>
          <w:sz w:val="30"/>
          <w:szCs w:val="30"/>
          <w:highlight w:val="none"/>
        </w:rPr>
      </w:pPr>
      <w:r>
        <w:rPr>
          <w:rFonts w:ascii="Tahoma" w:hAnsi="Tahoma" w:cs="Tahoma"/>
          <w:kern w:val="0"/>
          <w:sz w:val="30"/>
          <w:szCs w:val="30"/>
          <w:highlight w:val="none"/>
        </w:rPr>
        <w:t>国家外汇管理局湖南省分局</w:t>
      </w:r>
    </w:p>
    <w:p>
      <w:pPr>
        <w:widowControl/>
        <w:snapToGrid w:val="0"/>
        <w:spacing w:before="100" w:beforeAutospacing="1" w:after="100" w:afterAutospacing="1" w:line="360" w:lineRule="auto"/>
        <w:ind w:firstLine="5700" w:firstLineChars="1900"/>
        <w:jc w:val="left"/>
        <w:rPr>
          <w:rFonts w:ascii="Tahoma" w:hAnsi="Tahoma" w:cs="Tahoma"/>
          <w:kern w:val="0"/>
          <w:sz w:val="30"/>
          <w:szCs w:val="30"/>
          <w:highlight w:val="none"/>
        </w:rPr>
      </w:pPr>
      <w:r>
        <w:rPr>
          <w:rFonts w:ascii="Tahoma" w:hAnsi="Tahoma" w:cs="Tahoma"/>
          <w:kern w:val="0"/>
          <w:sz w:val="30"/>
          <w:szCs w:val="30"/>
          <w:highlight w:val="none"/>
        </w:rPr>
        <w:t>年 月 日</w:t>
      </w:r>
    </w:p>
    <w:p>
      <w:pPr>
        <w:widowControl/>
        <w:spacing w:before="100" w:beforeAutospacing="1" w:after="100" w:afterAutospacing="1"/>
        <w:jc w:val="left"/>
        <w:rPr>
          <w:rFonts w:ascii="Tahoma" w:hAnsi="Tahoma" w:cs="Tahoma"/>
          <w:kern w:val="0"/>
          <w:sz w:val="30"/>
          <w:szCs w:val="30"/>
          <w:highlight w:val="none"/>
        </w:rPr>
      </w:pPr>
    </w:p>
    <w:p>
      <w:pPr>
        <w:widowControl/>
        <w:spacing w:before="100" w:beforeAutospacing="1" w:after="100" w:afterAutospacing="1"/>
        <w:jc w:val="left"/>
        <w:rPr>
          <w:rFonts w:ascii="Tahoma" w:hAnsi="Tahoma" w:cs="Tahoma"/>
          <w:kern w:val="0"/>
          <w:sz w:val="30"/>
          <w:szCs w:val="30"/>
          <w:highlight w:val="none"/>
        </w:rPr>
      </w:pPr>
      <w:r>
        <w:rPr>
          <w:rFonts w:ascii="Tahoma" w:hAnsi="Tahoma" w:cs="Tahoma"/>
          <w:kern w:val="0"/>
          <w:sz w:val="30"/>
          <w:szCs w:val="30"/>
          <w:highlight w:val="none"/>
        </w:rPr>
        <w:t>附件1.3</w:t>
      </w:r>
    </w:p>
    <w:p>
      <w:pPr>
        <w:widowControl/>
        <w:spacing w:before="100" w:beforeAutospacing="1" w:after="100" w:afterAutospacing="1"/>
        <w:jc w:val="center"/>
        <w:rPr>
          <w:rFonts w:hint="eastAsia" w:ascii="黑体" w:hAnsi="黑体" w:eastAsia="黑体" w:cs="黑体"/>
          <w:kern w:val="0"/>
          <w:sz w:val="36"/>
          <w:szCs w:val="36"/>
          <w:highlight w:val="none"/>
        </w:rPr>
      </w:pPr>
      <w:r>
        <w:rPr>
          <w:rFonts w:hint="eastAsia" w:ascii="黑体" w:hAnsi="黑体" w:eastAsia="黑体" w:cs="黑体"/>
          <w:kern w:val="0"/>
          <w:sz w:val="36"/>
          <w:szCs w:val="36"/>
          <w:highlight w:val="none"/>
        </w:rPr>
        <w:t>关于执行“不申报、不解付”</w:t>
      </w:r>
    </w:p>
    <w:p>
      <w:pPr>
        <w:widowControl/>
        <w:spacing w:before="100" w:beforeAutospacing="1" w:after="100" w:afterAutospacing="1"/>
        <w:jc w:val="center"/>
        <w:rPr>
          <w:rFonts w:hint="eastAsia" w:ascii="黑体" w:hAnsi="黑体" w:eastAsia="黑体" w:cs="黑体"/>
          <w:kern w:val="0"/>
          <w:sz w:val="36"/>
          <w:szCs w:val="36"/>
          <w:highlight w:val="none"/>
        </w:rPr>
      </w:pPr>
      <w:r>
        <w:rPr>
          <w:rFonts w:hint="eastAsia" w:ascii="黑体" w:hAnsi="黑体" w:eastAsia="黑体" w:cs="黑体"/>
          <w:kern w:val="0"/>
          <w:sz w:val="36"/>
          <w:szCs w:val="36"/>
          <w:highlight w:val="none"/>
        </w:rPr>
        <w:t>特殊处理措施的通知书</w:t>
      </w:r>
    </w:p>
    <w:p>
      <w:pPr>
        <w:widowControl/>
        <w:spacing w:before="100" w:beforeAutospacing="1" w:after="100" w:afterAutospacing="1"/>
        <w:jc w:val="left"/>
        <w:rPr>
          <w:rFonts w:ascii="Tahoma" w:hAnsi="Tahoma" w:cs="Tahoma"/>
          <w:kern w:val="0"/>
          <w:sz w:val="30"/>
          <w:szCs w:val="30"/>
          <w:highlight w:val="none"/>
        </w:rPr>
      </w:pPr>
      <w:r>
        <w:rPr>
          <w:rFonts w:ascii="Tahoma" w:hAnsi="Tahoma" w:cs="Tahoma"/>
          <w:kern w:val="0"/>
          <w:sz w:val="30"/>
          <w:szCs w:val="30"/>
          <w:highlight w:val="none"/>
        </w:rPr>
        <w:t>（机构申报主体名称）：</w:t>
      </w:r>
    </w:p>
    <w:p>
      <w:pPr>
        <w:widowControl/>
        <w:spacing w:before="100" w:beforeAutospacing="1" w:after="100" w:afterAutospacing="1"/>
        <w:ind w:firstLine="600" w:firstLineChars="200"/>
        <w:jc w:val="left"/>
        <w:rPr>
          <w:rFonts w:ascii="Tahoma" w:hAnsi="Tahoma" w:cs="Tahoma"/>
          <w:kern w:val="0"/>
          <w:sz w:val="30"/>
          <w:szCs w:val="30"/>
          <w:highlight w:val="none"/>
        </w:rPr>
      </w:pPr>
      <w:r>
        <w:rPr>
          <w:rFonts w:ascii="Tahoma" w:hAnsi="Tahoma" w:cs="Tahoma"/>
          <w:kern w:val="0"/>
          <w:sz w:val="30"/>
          <w:szCs w:val="30"/>
          <w:highlight w:val="none"/>
        </w:rPr>
        <w:t>你单位未按规定履行国际收支申报义务，在 年 月至 年 月内逾期未申报合计 笔，金额 美元。根据《国际收支统计申报办法》、《</w:t>
      </w:r>
      <w:r>
        <w:rPr>
          <w:rFonts w:hint="eastAsia" w:ascii="Tahoma" w:hAnsi="Tahoma" w:cs="Tahoma"/>
          <w:kern w:val="0"/>
          <w:sz w:val="30"/>
          <w:szCs w:val="30"/>
          <w:highlight w:val="none"/>
          <w:lang w:eastAsia="zh-CN"/>
        </w:rPr>
        <w:t>通过银行进行国际收支统计申报业务实施细则</w:t>
      </w:r>
      <w:r>
        <w:rPr>
          <w:rFonts w:ascii="Tahoma" w:hAnsi="Tahoma" w:cs="Tahoma"/>
          <w:kern w:val="0"/>
          <w:sz w:val="30"/>
          <w:szCs w:val="30"/>
          <w:highlight w:val="none"/>
        </w:rPr>
        <w:t>》的有关规定，决定对你单位执行“不申报、不解付”特殊处理措施，即不补报逾期未申报的涉外收入款项，经办银行不得办理新发生涉外收入款项的解付手续。你单位接此通知应首先逐笔补报上述未按期申报的涉外收入款项。完成补报义务后，你单位应向当地</w:t>
      </w:r>
      <w:r>
        <w:rPr>
          <w:rFonts w:hint="eastAsia" w:ascii="Tahoma" w:hAnsi="Tahoma" w:cs="Tahoma"/>
          <w:kern w:val="0"/>
          <w:sz w:val="30"/>
          <w:szCs w:val="30"/>
          <w:highlight w:val="none"/>
          <w:lang w:eastAsia="zh-CN"/>
        </w:rPr>
        <w:t>外汇局</w:t>
      </w:r>
      <w:r>
        <w:rPr>
          <w:rFonts w:ascii="Tahoma" w:hAnsi="Tahoma" w:cs="Tahoma"/>
          <w:kern w:val="0"/>
          <w:sz w:val="30"/>
          <w:szCs w:val="30"/>
          <w:highlight w:val="none"/>
        </w:rPr>
        <w:t>申请签发《补报确认通知书》。在被执行特殊处理措施期间，你单位应以纸质申报方式完成新收款项的申报。按要求履行完申报义务，凭《补报确认书》可向当地</w:t>
      </w:r>
      <w:r>
        <w:rPr>
          <w:rFonts w:hint="eastAsia" w:ascii="Tahoma" w:hAnsi="Tahoma" w:cs="Tahoma"/>
          <w:kern w:val="0"/>
          <w:sz w:val="30"/>
          <w:szCs w:val="30"/>
          <w:highlight w:val="none"/>
          <w:lang w:eastAsia="zh-CN"/>
        </w:rPr>
        <w:t>外汇局</w:t>
      </w:r>
      <w:r>
        <w:rPr>
          <w:rFonts w:ascii="Tahoma" w:hAnsi="Tahoma" w:cs="Tahoma"/>
          <w:kern w:val="0"/>
          <w:sz w:val="30"/>
          <w:szCs w:val="30"/>
          <w:highlight w:val="none"/>
        </w:rPr>
        <w:t>申请解除对你单位执行“不申报、不解付”特殊处理措施，并以由湖南省分局核批为准。</w:t>
      </w:r>
    </w:p>
    <w:p>
      <w:pPr>
        <w:widowControl/>
        <w:spacing w:before="100" w:beforeAutospacing="1" w:after="100" w:afterAutospacing="1"/>
        <w:ind w:firstLine="600" w:firstLineChars="200"/>
        <w:jc w:val="left"/>
        <w:rPr>
          <w:rFonts w:ascii="Tahoma" w:hAnsi="Tahoma" w:cs="Tahoma"/>
          <w:kern w:val="0"/>
          <w:sz w:val="30"/>
          <w:szCs w:val="30"/>
          <w:highlight w:val="none"/>
        </w:rPr>
      </w:pPr>
      <w:r>
        <w:rPr>
          <w:rFonts w:ascii="Tahoma" w:hAnsi="Tahoma" w:cs="Tahoma"/>
          <w:kern w:val="0"/>
          <w:sz w:val="30"/>
          <w:szCs w:val="30"/>
          <w:highlight w:val="none"/>
        </w:rPr>
        <w:t>特此通知。</w:t>
      </w:r>
    </w:p>
    <w:p>
      <w:pPr>
        <w:widowControl/>
        <w:snapToGrid w:val="0"/>
        <w:spacing w:before="100" w:beforeAutospacing="1" w:after="100" w:afterAutospacing="1" w:line="360" w:lineRule="auto"/>
        <w:jc w:val="right"/>
        <w:rPr>
          <w:rFonts w:ascii="Tahoma" w:hAnsi="Tahoma" w:cs="Tahoma"/>
          <w:kern w:val="0"/>
          <w:sz w:val="30"/>
          <w:szCs w:val="30"/>
          <w:highlight w:val="none"/>
        </w:rPr>
      </w:pPr>
      <w:r>
        <w:rPr>
          <w:rFonts w:hint="eastAsia" w:ascii="Tahoma" w:hAnsi="Tahoma" w:cs="Tahoma"/>
          <w:kern w:val="0"/>
          <w:sz w:val="30"/>
          <w:szCs w:val="30"/>
          <w:highlight w:val="none"/>
          <w:lang w:val="en-US" w:eastAsia="zh-CN"/>
        </w:rPr>
        <w:t xml:space="preserve">                        </w:t>
      </w:r>
      <w:r>
        <w:rPr>
          <w:rFonts w:ascii="Tahoma" w:hAnsi="Tahoma" w:cs="Tahoma"/>
          <w:kern w:val="0"/>
          <w:sz w:val="30"/>
          <w:szCs w:val="30"/>
          <w:highlight w:val="none"/>
        </w:rPr>
        <w:t>国家外汇管理局</w:t>
      </w:r>
      <w:r>
        <w:rPr>
          <w:rFonts w:hint="eastAsia" w:ascii="Tahoma" w:hAnsi="Tahoma" w:cs="Tahoma"/>
          <w:kern w:val="0"/>
          <w:sz w:val="30"/>
          <w:szCs w:val="30"/>
          <w:highlight w:val="none"/>
          <w:lang w:val="en-US" w:eastAsia="zh-CN"/>
        </w:rPr>
        <w:t>XX分</w:t>
      </w:r>
      <w:r>
        <w:rPr>
          <w:rFonts w:ascii="Tahoma" w:hAnsi="Tahoma" w:cs="Tahoma"/>
          <w:kern w:val="0"/>
          <w:sz w:val="30"/>
          <w:szCs w:val="30"/>
          <w:highlight w:val="none"/>
        </w:rPr>
        <w:t>局</w:t>
      </w:r>
    </w:p>
    <w:p>
      <w:pPr>
        <w:widowControl/>
        <w:snapToGrid w:val="0"/>
        <w:spacing w:before="100" w:beforeAutospacing="1" w:after="100" w:afterAutospacing="1" w:line="360" w:lineRule="auto"/>
        <w:jc w:val="center"/>
        <w:rPr>
          <w:rFonts w:ascii="Tahoma" w:hAnsi="Tahoma" w:cs="Tahoma"/>
          <w:kern w:val="0"/>
          <w:sz w:val="30"/>
          <w:szCs w:val="30"/>
          <w:highlight w:val="none"/>
        </w:rPr>
      </w:pPr>
      <w:r>
        <w:rPr>
          <w:rFonts w:hint="eastAsia" w:ascii="Tahoma" w:hAnsi="Tahoma" w:cs="Tahoma"/>
          <w:kern w:val="0"/>
          <w:sz w:val="30"/>
          <w:szCs w:val="30"/>
          <w:highlight w:val="none"/>
          <w:lang w:val="en-US" w:eastAsia="zh-CN"/>
        </w:rPr>
        <w:t xml:space="preserve">                              </w:t>
      </w:r>
      <w:r>
        <w:rPr>
          <w:rFonts w:ascii="Tahoma" w:hAnsi="Tahoma" w:cs="Tahoma"/>
          <w:kern w:val="0"/>
          <w:sz w:val="30"/>
          <w:szCs w:val="30"/>
          <w:highlight w:val="none"/>
        </w:rPr>
        <w:t>年 月 日</w:t>
      </w:r>
    </w:p>
    <w:p>
      <w:pPr>
        <w:widowControl/>
        <w:spacing w:before="100" w:beforeAutospacing="1" w:after="100" w:afterAutospacing="1"/>
        <w:jc w:val="left"/>
        <w:rPr>
          <w:rFonts w:ascii="Tahoma" w:hAnsi="Tahoma" w:cs="Tahoma"/>
          <w:kern w:val="0"/>
          <w:sz w:val="30"/>
          <w:szCs w:val="30"/>
          <w:highlight w:val="none"/>
        </w:rPr>
      </w:pPr>
    </w:p>
    <w:p>
      <w:pPr>
        <w:widowControl/>
        <w:spacing w:before="100" w:beforeAutospacing="1" w:after="100" w:afterAutospacing="1"/>
        <w:jc w:val="left"/>
        <w:rPr>
          <w:rFonts w:ascii="Tahoma" w:hAnsi="Tahoma" w:cs="Tahoma"/>
          <w:kern w:val="0"/>
          <w:sz w:val="30"/>
          <w:szCs w:val="30"/>
          <w:highlight w:val="none"/>
        </w:rPr>
      </w:pPr>
      <w:r>
        <w:rPr>
          <w:rFonts w:ascii="Tahoma" w:hAnsi="Tahoma" w:cs="Tahoma"/>
          <w:kern w:val="0"/>
          <w:sz w:val="30"/>
          <w:szCs w:val="30"/>
          <w:highlight w:val="none"/>
        </w:rPr>
        <w:t xml:space="preserve">附件1.4 </w:t>
      </w:r>
    </w:p>
    <w:p>
      <w:pPr>
        <w:widowControl/>
        <w:jc w:val="left"/>
        <w:rPr>
          <w:rFonts w:ascii="Tahoma" w:hAnsi="Tahoma" w:cs="Tahoma"/>
          <w:kern w:val="0"/>
          <w:sz w:val="30"/>
          <w:szCs w:val="30"/>
          <w:highlight w:val="none"/>
        </w:rPr>
      </w:pPr>
    </w:p>
    <w:p>
      <w:pPr>
        <w:widowControl/>
        <w:snapToGrid w:val="0"/>
        <w:spacing w:before="100" w:beforeAutospacing="1" w:after="100" w:afterAutospacing="1" w:line="360" w:lineRule="auto"/>
        <w:jc w:val="center"/>
        <w:rPr>
          <w:rFonts w:hint="eastAsia" w:ascii="黑体" w:hAnsi="黑体" w:eastAsia="黑体" w:cs="黑体"/>
          <w:kern w:val="0"/>
          <w:sz w:val="36"/>
          <w:szCs w:val="36"/>
          <w:highlight w:val="none"/>
        </w:rPr>
      </w:pPr>
      <w:r>
        <w:rPr>
          <w:rFonts w:hint="eastAsia" w:ascii="黑体" w:hAnsi="黑体" w:eastAsia="黑体" w:cs="黑体"/>
          <w:kern w:val="0"/>
          <w:sz w:val="36"/>
          <w:szCs w:val="36"/>
          <w:highlight w:val="none"/>
        </w:rPr>
        <w:t>国际收支统计申报补报确认书</w:t>
      </w:r>
    </w:p>
    <w:p>
      <w:pPr>
        <w:widowControl/>
        <w:jc w:val="left"/>
        <w:rPr>
          <w:rFonts w:ascii="Tahoma" w:hAnsi="Tahoma" w:cs="Tahoma"/>
          <w:kern w:val="0"/>
          <w:sz w:val="30"/>
          <w:szCs w:val="30"/>
          <w:highlight w:val="none"/>
        </w:rPr>
      </w:pPr>
    </w:p>
    <w:p>
      <w:pPr>
        <w:widowControl/>
        <w:wordWrap w:val="0"/>
        <w:spacing w:before="100" w:beforeAutospacing="1" w:after="100" w:afterAutospacing="1" w:line="580" w:lineRule="atLeast"/>
        <w:jc w:val="center"/>
        <w:rPr>
          <w:rFonts w:ascii="Tahoma" w:hAnsi="Tahoma" w:cs="Tahoma"/>
          <w:kern w:val="0"/>
          <w:sz w:val="30"/>
          <w:szCs w:val="30"/>
          <w:highlight w:val="none"/>
        </w:rPr>
      </w:pPr>
      <w:r>
        <w:rPr>
          <w:rFonts w:hint="eastAsia" w:ascii="Tahoma" w:hAnsi="Tahoma" w:cs="Tahoma"/>
          <w:kern w:val="0"/>
          <w:sz w:val="30"/>
          <w:szCs w:val="30"/>
          <w:highlight w:val="none"/>
          <w:lang w:val="en-US" w:eastAsia="zh-CN"/>
        </w:rPr>
        <w:t xml:space="preserve">                              </w:t>
      </w:r>
      <w:r>
        <w:rPr>
          <w:rFonts w:ascii="Tahoma" w:hAnsi="Tahoma" w:cs="Tahoma"/>
          <w:kern w:val="0"/>
          <w:sz w:val="30"/>
          <w:szCs w:val="30"/>
          <w:highlight w:val="none"/>
        </w:rPr>
        <w:t>编号：</w:t>
      </w:r>
    </w:p>
    <w:p>
      <w:pPr>
        <w:widowControl/>
        <w:spacing w:before="100" w:beforeAutospacing="1" w:after="100" w:afterAutospacing="1" w:line="580" w:lineRule="atLeast"/>
        <w:ind w:firstLine="600" w:firstLineChars="200"/>
        <w:jc w:val="left"/>
        <w:rPr>
          <w:rFonts w:ascii="Tahoma" w:hAnsi="Tahoma" w:cs="Tahoma"/>
          <w:kern w:val="0"/>
          <w:sz w:val="30"/>
          <w:szCs w:val="30"/>
          <w:highlight w:val="none"/>
        </w:rPr>
      </w:pPr>
      <w:r>
        <w:rPr>
          <w:rFonts w:ascii="Tahoma" w:hAnsi="Tahoma" w:cs="Tahoma"/>
          <w:kern w:val="0"/>
          <w:sz w:val="30"/>
          <w:szCs w:val="30"/>
          <w:highlight w:val="none"/>
        </w:rPr>
        <w:t>兹确认 （机构名称） （组织机构代码）已在其原解付银行 （可以填写多家银行）完成其 年　月至 年　月逾期未申报的　　笔 美元涉外收入款项的补申报手续。请经办银行为其办理解付手续及国际收支统计申报。</w:t>
      </w:r>
    </w:p>
    <w:p>
      <w:pPr>
        <w:widowControl/>
        <w:snapToGrid w:val="0"/>
        <w:spacing w:before="100" w:beforeAutospacing="1" w:after="100" w:afterAutospacing="1" w:line="360" w:lineRule="auto"/>
        <w:jc w:val="right"/>
        <w:rPr>
          <w:rFonts w:ascii="Tahoma" w:hAnsi="Tahoma" w:cs="Tahoma"/>
          <w:kern w:val="0"/>
          <w:sz w:val="30"/>
          <w:szCs w:val="30"/>
          <w:highlight w:val="none"/>
        </w:rPr>
      </w:pPr>
    </w:p>
    <w:p>
      <w:pPr>
        <w:widowControl/>
        <w:snapToGrid w:val="0"/>
        <w:spacing w:before="100" w:beforeAutospacing="1" w:after="100" w:afterAutospacing="1" w:line="360" w:lineRule="auto"/>
        <w:jc w:val="right"/>
        <w:rPr>
          <w:rFonts w:ascii="Tahoma" w:hAnsi="Tahoma" w:cs="Tahoma"/>
          <w:kern w:val="0"/>
          <w:sz w:val="30"/>
          <w:szCs w:val="30"/>
          <w:highlight w:val="none"/>
        </w:rPr>
      </w:pPr>
    </w:p>
    <w:p>
      <w:pPr>
        <w:widowControl/>
        <w:snapToGrid w:val="0"/>
        <w:spacing w:before="100" w:beforeAutospacing="1" w:after="100" w:afterAutospacing="1" w:line="360" w:lineRule="auto"/>
        <w:jc w:val="right"/>
        <w:rPr>
          <w:rFonts w:ascii="Tahoma" w:hAnsi="Tahoma" w:cs="Tahoma"/>
          <w:kern w:val="0"/>
          <w:sz w:val="30"/>
          <w:szCs w:val="30"/>
          <w:highlight w:val="none"/>
        </w:rPr>
      </w:pPr>
      <w:r>
        <w:rPr>
          <w:rFonts w:ascii="Tahoma" w:hAnsi="Tahoma" w:cs="Tahoma"/>
          <w:kern w:val="0"/>
          <w:sz w:val="30"/>
          <w:szCs w:val="30"/>
          <w:highlight w:val="none"/>
        </w:rPr>
        <w:t>国家外汇管理局</w:t>
      </w:r>
      <w:r>
        <w:rPr>
          <w:rFonts w:hint="eastAsia" w:ascii="Tahoma" w:hAnsi="Tahoma" w:cs="Tahoma"/>
          <w:kern w:val="0"/>
          <w:sz w:val="30"/>
          <w:szCs w:val="30"/>
          <w:highlight w:val="none"/>
          <w:lang w:val="en-US" w:eastAsia="zh-CN"/>
        </w:rPr>
        <w:t>xx分</w:t>
      </w:r>
      <w:r>
        <w:rPr>
          <w:rFonts w:ascii="Tahoma" w:hAnsi="Tahoma" w:cs="Tahoma"/>
          <w:kern w:val="0"/>
          <w:sz w:val="30"/>
          <w:szCs w:val="30"/>
          <w:highlight w:val="none"/>
        </w:rPr>
        <w:t>局</w:t>
      </w:r>
    </w:p>
    <w:p>
      <w:pPr>
        <w:widowControl/>
        <w:snapToGrid w:val="0"/>
        <w:spacing w:before="100" w:beforeAutospacing="1" w:after="100" w:afterAutospacing="1" w:line="360" w:lineRule="auto"/>
        <w:ind w:firstLine="6300" w:firstLineChars="2100"/>
        <w:jc w:val="left"/>
        <w:rPr>
          <w:rFonts w:ascii="Tahoma" w:hAnsi="Tahoma" w:cs="Tahoma"/>
          <w:kern w:val="0"/>
          <w:sz w:val="30"/>
          <w:szCs w:val="30"/>
          <w:highlight w:val="none"/>
        </w:rPr>
      </w:pPr>
      <w:r>
        <w:rPr>
          <w:rFonts w:ascii="Tahoma" w:hAnsi="Tahoma" w:cs="Tahoma"/>
          <w:kern w:val="0"/>
          <w:sz w:val="30"/>
          <w:szCs w:val="30"/>
          <w:highlight w:val="none"/>
        </w:rPr>
        <w:t>年 月 日</w:t>
      </w:r>
    </w:p>
    <w:p>
      <w:pPr>
        <w:widowControl/>
        <w:snapToGrid w:val="0"/>
        <w:spacing w:before="100" w:beforeAutospacing="1" w:after="100" w:afterAutospacing="1" w:line="360" w:lineRule="auto"/>
        <w:jc w:val="left"/>
        <w:rPr>
          <w:rFonts w:ascii="Tahoma" w:hAnsi="Tahoma" w:cs="Tahoma"/>
          <w:kern w:val="0"/>
          <w:sz w:val="30"/>
          <w:szCs w:val="30"/>
          <w:highlight w:val="none"/>
        </w:rPr>
      </w:pPr>
    </w:p>
    <w:p>
      <w:pPr>
        <w:widowControl/>
        <w:snapToGrid w:val="0"/>
        <w:spacing w:before="100" w:beforeAutospacing="1" w:after="100" w:afterAutospacing="1" w:line="360" w:lineRule="auto"/>
        <w:jc w:val="left"/>
        <w:rPr>
          <w:rFonts w:ascii="Tahoma" w:hAnsi="Tahoma" w:cs="Tahoma"/>
          <w:kern w:val="0"/>
          <w:sz w:val="30"/>
          <w:szCs w:val="30"/>
          <w:highlight w:val="none"/>
        </w:rPr>
      </w:pPr>
    </w:p>
    <w:p>
      <w:pPr>
        <w:widowControl/>
        <w:snapToGrid w:val="0"/>
        <w:spacing w:before="100" w:beforeAutospacing="1" w:after="100" w:afterAutospacing="1" w:line="360" w:lineRule="auto"/>
        <w:jc w:val="left"/>
        <w:rPr>
          <w:rFonts w:ascii="Tahoma" w:hAnsi="Tahoma" w:cs="Tahoma"/>
          <w:kern w:val="0"/>
          <w:sz w:val="30"/>
          <w:szCs w:val="30"/>
          <w:highlight w:val="none"/>
        </w:rPr>
      </w:pPr>
    </w:p>
    <w:p>
      <w:pPr>
        <w:widowControl/>
        <w:snapToGrid w:val="0"/>
        <w:spacing w:before="100" w:beforeAutospacing="1" w:after="100" w:afterAutospacing="1" w:line="360" w:lineRule="auto"/>
        <w:jc w:val="left"/>
        <w:rPr>
          <w:rFonts w:ascii="Tahoma" w:hAnsi="Tahoma" w:cs="Tahoma"/>
          <w:kern w:val="0"/>
          <w:sz w:val="30"/>
          <w:szCs w:val="30"/>
          <w:highlight w:val="none"/>
        </w:rPr>
      </w:pPr>
    </w:p>
    <w:p>
      <w:pPr>
        <w:widowControl/>
        <w:snapToGrid w:val="0"/>
        <w:spacing w:before="100" w:beforeAutospacing="1" w:after="100" w:afterAutospacing="1" w:line="360" w:lineRule="auto"/>
        <w:jc w:val="left"/>
        <w:rPr>
          <w:rFonts w:ascii="Tahoma" w:hAnsi="Tahoma" w:cs="Tahoma"/>
          <w:kern w:val="0"/>
          <w:sz w:val="30"/>
          <w:szCs w:val="30"/>
          <w:highlight w:val="none"/>
        </w:rPr>
      </w:pPr>
      <w:r>
        <w:rPr>
          <w:rFonts w:ascii="Tahoma" w:hAnsi="Tahoma" w:cs="Tahoma"/>
          <w:kern w:val="0"/>
          <w:sz w:val="30"/>
          <w:szCs w:val="30"/>
          <w:highlight w:val="none"/>
        </w:rPr>
        <w:t>附件1.5</w:t>
      </w:r>
    </w:p>
    <w:p>
      <w:pPr>
        <w:widowControl/>
        <w:snapToGrid w:val="0"/>
        <w:spacing w:before="100" w:beforeAutospacing="1" w:after="100" w:afterAutospacing="1" w:line="360" w:lineRule="auto"/>
        <w:jc w:val="center"/>
        <w:rPr>
          <w:rFonts w:hint="eastAsia" w:ascii="黑体" w:hAnsi="黑体" w:eastAsia="黑体" w:cs="黑体"/>
          <w:kern w:val="0"/>
          <w:sz w:val="36"/>
          <w:szCs w:val="36"/>
          <w:highlight w:val="none"/>
        </w:rPr>
      </w:pPr>
      <w:r>
        <w:rPr>
          <w:rFonts w:hint="eastAsia" w:ascii="黑体" w:hAnsi="黑体" w:eastAsia="黑体" w:cs="黑体"/>
          <w:kern w:val="0"/>
          <w:sz w:val="36"/>
          <w:szCs w:val="36"/>
          <w:highlight w:val="none"/>
        </w:rPr>
        <w:t>关于对机构申报主体解除“不申报、不解付”</w:t>
      </w:r>
    </w:p>
    <w:p>
      <w:pPr>
        <w:widowControl/>
        <w:snapToGrid w:val="0"/>
        <w:spacing w:before="100" w:beforeAutospacing="1" w:after="100" w:afterAutospacing="1" w:line="360" w:lineRule="auto"/>
        <w:jc w:val="center"/>
        <w:rPr>
          <w:rFonts w:hint="eastAsia" w:ascii="黑体" w:hAnsi="黑体" w:eastAsia="黑体" w:cs="黑体"/>
          <w:kern w:val="0"/>
          <w:sz w:val="36"/>
          <w:szCs w:val="36"/>
          <w:highlight w:val="none"/>
        </w:rPr>
      </w:pPr>
      <w:r>
        <w:rPr>
          <w:rFonts w:hint="eastAsia" w:ascii="黑体" w:hAnsi="黑体" w:eastAsia="黑体" w:cs="黑体"/>
          <w:kern w:val="0"/>
          <w:sz w:val="36"/>
          <w:szCs w:val="36"/>
          <w:highlight w:val="none"/>
        </w:rPr>
        <w:t>特殊处理措施机构名单的通报</w:t>
      </w:r>
    </w:p>
    <w:p>
      <w:pPr>
        <w:widowControl/>
        <w:jc w:val="left"/>
        <w:rPr>
          <w:rFonts w:ascii="Tahoma" w:hAnsi="Tahoma" w:cs="Tahoma"/>
          <w:kern w:val="0"/>
          <w:sz w:val="30"/>
          <w:szCs w:val="30"/>
          <w:highlight w:val="none"/>
        </w:rPr>
      </w:pPr>
    </w:p>
    <w:p>
      <w:pPr>
        <w:widowControl/>
        <w:snapToGrid w:val="0"/>
        <w:spacing w:before="100" w:beforeAutospacing="1" w:after="100" w:afterAutospacing="1" w:line="360" w:lineRule="auto"/>
        <w:jc w:val="left"/>
        <w:rPr>
          <w:rFonts w:ascii="Tahoma" w:hAnsi="Tahoma" w:cs="Tahoma"/>
          <w:kern w:val="0"/>
          <w:sz w:val="30"/>
          <w:szCs w:val="30"/>
          <w:highlight w:val="none"/>
        </w:rPr>
      </w:pPr>
      <w:r>
        <w:rPr>
          <w:rFonts w:ascii="Tahoma" w:hAnsi="Tahoma" w:cs="Tahoma"/>
          <w:kern w:val="0"/>
          <w:sz w:val="30"/>
          <w:szCs w:val="30"/>
          <w:highlight w:val="none"/>
        </w:rPr>
        <w:t>辖内各</w:t>
      </w:r>
      <w:r>
        <w:rPr>
          <w:rFonts w:hint="eastAsia" w:ascii="Tahoma" w:hAnsi="Tahoma" w:cs="Tahoma"/>
          <w:kern w:val="0"/>
          <w:sz w:val="30"/>
          <w:szCs w:val="30"/>
          <w:highlight w:val="none"/>
          <w:lang w:eastAsia="zh-CN"/>
        </w:rPr>
        <w:t>市（州）分局</w:t>
      </w:r>
      <w:r>
        <w:rPr>
          <w:rFonts w:ascii="Tahoma" w:hAnsi="Tahoma" w:cs="Tahoma"/>
          <w:kern w:val="0"/>
          <w:sz w:val="30"/>
          <w:szCs w:val="30"/>
          <w:highlight w:val="none"/>
        </w:rPr>
        <w:t>；各外汇指定银行：</w:t>
      </w:r>
    </w:p>
    <w:p>
      <w:pPr>
        <w:widowControl/>
        <w:snapToGrid w:val="0"/>
        <w:spacing w:before="100" w:beforeAutospacing="1" w:after="100" w:afterAutospacing="1" w:line="360" w:lineRule="auto"/>
        <w:ind w:firstLine="600" w:firstLineChars="200"/>
        <w:jc w:val="left"/>
        <w:rPr>
          <w:rFonts w:ascii="Tahoma" w:hAnsi="Tahoma" w:cs="Tahoma"/>
          <w:kern w:val="0"/>
          <w:sz w:val="30"/>
          <w:szCs w:val="30"/>
          <w:highlight w:val="none"/>
        </w:rPr>
      </w:pPr>
      <w:r>
        <w:rPr>
          <w:rFonts w:ascii="Tahoma" w:hAnsi="Tahoma" w:cs="Tahoma"/>
          <w:kern w:val="0"/>
          <w:sz w:val="30"/>
          <w:szCs w:val="30"/>
          <w:highlight w:val="none"/>
        </w:rPr>
        <w:t>根据《国际收支统计申报办法》和《</w:t>
      </w:r>
      <w:r>
        <w:rPr>
          <w:rFonts w:hint="eastAsia" w:ascii="Tahoma" w:hAnsi="Tahoma" w:cs="Tahoma"/>
          <w:kern w:val="0"/>
          <w:sz w:val="30"/>
          <w:szCs w:val="30"/>
          <w:highlight w:val="none"/>
          <w:lang w:eastAsia="zh-CN"/>
        </w:rPr>
        <w:t>通过银行进行国际收支统计申报业务实施细则</w:t>
      </w:r>
      <w:r>
        <w:rPr>
          <w:rFonts w:ascii="Tahoma" w:hAnsi="Tahoma" w:cs="Tahoma"/>
          <w:kern w:val="0"/>
          <w:sz w:val="30"/>
          <w:szCs w:val="30"/>
          <w:highlight w:val="none"/>
        </w:rPr>
        <w:t>》的有关规定，以下机构申报主体已经补报其未按期申报的涉外收入款项，我分局决定对其解除“不申报、不解付”特殊处理措施（具体名单如下）。</w:t>
      </w:r>
    </w:p>
    <w:p>
      <w:pPr>
        <w:widowControl/>
        <w:snapToGrid w:val="0"/>
        <w:spacing w:before="100" w:beforeAutospacing="1" w:after="100" w:afterAutospacing="1" w:line="360" w:lineRule="auto"/>
        <w:ind w:firstLine="600" w:firstLineChars="200"/>
        <w:jc w:val="left"/>
        <w:rPr>
          <w:rFonts w:ascii="Tahoma" w:hAnsi="Tahoma" w:cs="Tahoma"/>
          <w:kern w:val="0"/>
          <w:sz w:val="30"/>
          <w:szCs w:val="30"/>
          <w:highlight w:val="none"/>
        </w:rPr>
      </w:pPr>
      <w:r>
        <w:rPr>
          <w:rFonts w:ascii="Tahoma" w:hAnsi="Tahoma" w:cs="Tahoma"/>
          <w:kern w:val="0"/>
          <w:sz w:val="30"/>
          <w:szCs w:val="30"/>
          <w:highlight w:val="none"/>
        </w:rPr>
        <w:t>特此通报。</w:t>
      </w:r>
    </w:p>
    <w:tbl>
      <w:tblPr>
        <w:tblStyle w:val="2"/>
        <w:tblW w:w="6710" w:type="dxa"/>
        <w:jc w:val="center"/>
        <w:tblLayout w:type="fixed"/>
        <w:tblCellMar>
          <w:top w:w="0" w:type="dxa"/>
          <w:left w:w="0" w:type="dxa"/>
          <w:bottom w:w="0" w:type="dxa"/>
          <w:right w:w="0" w:type="dxa"/>
        </w:tblCellMar>
      </w:tblPr>
      <w:tblGrid>
        <w:gridCol w:w="2070"/>
        <w:gridCol w:w="4640"/>
      </w:tblGrid>
      <w:tr>
        <w:tblPrEx>
          <w:tblCellMar>
            <w:top w:w="0" w:type="dxa"/>
            <w:left w:w="0" w:type="dxa"/>
            <w:bottom w:w="0" w:type="dxa"/>
            <w:right w:w="0" w:type="dxa"/>
          </w:tblCellMar>
        </w:tblPrEx>
        <w:trPr>
          <w:jc w:val="center"/>
        </w:trPr>
        <w:tc>
          <w:tcPr>
            <w:tcW w:w="2070"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snapToGrid w:val="0"/>
              <w:spacing w:before="100" w:beforeAutospacing="1" w:after="100" w:afterAutospacing="1" w:line="360" w:lineRule="auto"/>
              <w:jc w:val="center"/>
              <w:rPr>
                <w:rFonts w:ascii="宋体" w:hAnsi="宋体" w:cs="宋体"/>
                <w:kern w:val="0"/>
                <w:sz w:val="30"/>
                <w:szCs w:val="30"/>
                <w:highlight w:val="none"/>
              </w:rPr>
            </w:pPr>
            <w:r>
              <w:rPr>
                <w:rFonts w:ascii="宋体" w:hAnsi="宋体" w:cs="宋体"/>
                <w:kern w:val="0"/>
                <w:sz w:val="30"/>
                <w:szCs w:val="30"/>
                <w:highlight w:val="none"/>
              </w:rPr>
              <w:t>机构代码</w:t>
            </w:r>
          </w:p>
        </w:tc>
        <w:tc>
          <w:tcPr>
            <w:tcW w:w="4640"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snapToGrid w:val="0"/>
              <w:spacing w:before="100" w:beforeAutospacing="1" w:after="100" w:afterAutospacing="1" w:line="360" w:lineRule="auto"/>
              <w:jc w:val="center"/>
              <w:rPr>
                <w:rFonts w:ascii="宋体" w:hAnsi="宋体" w:cs="宋体"/>
                <w:kern w:val="0"/>
                <w:sz w:val="30"/>
                <w:szCs w:val="30"/>
                <w:highlight w:val="none"/>
              </w:rPr>
            </w:pPr>
            <w:r>
              <w:rPr>
                <w:rFonts w:ascii="宋体" w:hAnsi="宋体" w:cs="宋体"/>
                <w:kern w:val="0"/>
                <w:sz w:val="30"/>
                <w:szCs w:val="30"/>
                <w:highlight w:val="none"/>
              </w:rPr>
              <w:t>机构名称</w:t>
            </w:r>
          </w:p>
        </w:tc>
      </w:tr>
      <w:tr>
        <w:tblPrEx>
          <w:tblCellMar>
            <w:top w:w="0" w:type="dxa"/>
            <w:left w:w="0" w:type="dxa"/>
            <w:bottom w:w="0" w:type="dxa"/>
            <w:right w:w="0" w:type="dxa"/>
          </w:tblCellMar>
        </w:tblPrEx>
        <w:trPr>
          <w:jc w:val="center"/>
        </w:trPr>
        <w:tc>
          <w:tcPr>
            <w:tcW w:w="2070"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left"/>
              <w:rPr>
                <w:rFonts w:ascii="宋体" w:hAnsi="宋体" w:cs="宋体"/>
                <w:kern w:val="0"/>
                <w:sz w:val="30"/>
                <w:szCs w:val="30"/>
                <w:highlight w:val="none"/>
              </w:rPr>
            </w:pPr>
          </w:p>
        </w:tc>
        <w:tc>
          <w:tcPr>
            <w:tcW w:w="464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left"/>
              <w:rPr>
                <w:rFonts w:ascii="宋体" w:hAnsi="宋体" w:cs="宋体"/>
                <w:kern w:val="0"/>
                <w:sz w:val="30"/>
                <w:szCs w:val="30"/>
                <w:highlight w:val="none"/>
              </w:rPr>
            </w:pPr>
          </w:p>
        </w:tc>
      </w:tr>
      <w:tr>
        <w:tblPrEx>
          <w:tblCellMar>
            <w:top w:w="0" w:type="dxa"/>
            <w:left w:w="0" w:type="dxa"/>
            <w:bottom w:w="0" w:type="dxa"/>
            <w:right w:w="0" w:type="dxa"/>
          </w:tblCellMar>
        </w:tblPrEx>
        <w:trPr>
          <w:jc w:val="center"/>
        </w:trPr>
        <w:tc>
          <w:tcPr>
            <w:tcW w:w="2070"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left"/>
              <w:rPr>
                <w:rFonts w:ascii="宋体" w:hAnsi="宋体" w:cs="宋体"/>
                <w:kern w:val="0"/>
                <w:sz w:val="30"/>
                <w:szCs w:val="30"/>
                <w:highlight w:val="none"/>
              </w:rPr>
            </w:pPr>
          </w:p>
        </w:tc>
        <w:tc>
          <w:tcPr>
            <w:tcW w:w="464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left"/>
              <w:rPr>
                <w:rFonts w:ascii="宋体" w:hAnsi="宋体" w:cs="宋体"/>
                <w:kern w:val="0"/>
                <w:sz w:val="30"/>
                <w:szCs w:val="30"/>
                <w:highlight w:val="none"/>
              </w:rPr>
            </w:pPr>
          </w:p>
        </w:tc>
      </w:tr>
      <w:tr>
        <w:tblPrEx>
          <w:tblCellMar>
            <w:top w:w="0" w:type="dxa"/>
            <w:left w:w="0" w:type="dxa"/>
            <w:bottom w:w="0" w:type="dxa"/>
            <w:right w:w="0" w:type="dxa"/>
          </w:tblCellMar>
        </w:tblPrEx>
        <w:trPr>
          <w:jc w:val="center"/>
        </w:trPr>
        <w:tc>
          <w:tcPr>
            <w:tcW w:w="2070"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left"/>
              <w:rPr>
                <w:rFonts w:ascii="宋体" w:hAnsi="宋体" w:cs="宋体"/>
                <w:kern w:val="0"/>
                <w:sz w:val="30"/>
                <w:szCs w:val="30"/>
                <w:highlight w:val="none"/>
              </w:rPr>
            </w:pPr>
          </w:p>
        </w:tc>
        <w:tc>
          <w:tcPr>
            <w:tcW w:w="464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left"/>
              <w:rPr>
                <w:rFonts w:ascii="宋体" w:hAnsi="宋体" w:cs="宋体"/>
                <w:kern w:val="0"/>
                <w:sz w:val="30"/>
                <w:szCs w:val="30"/>
                <w:highlight w:val="none"/>
              </w:rPr>
            </w:pPr>
          </w:p>
        </w:tc>
      </w:tr>
    </w:tbl>
    <w:p>
      <w:pPr>
        <w:widowControl/>
        <w:snapToGrid w:val="0"/>
        <w:spacing w:before="100" w:beforeAutospacing="1" w:after="100" w:afterAutospacing="1" w:line="360" w:lineRule="auto"/>
        <w:jc w:val="left"/>
        <w:rPr>
          <w:rFonts w:ascii="Tahoma" w:hAnsi="Tahoma" w:cs="Tahoma"/>
          <w:kern w:val="0"/>
          <w:sz w:val="30"/>
          <w:szCs w:val="30"/>
          <w:highlight w:val="none"/>
        </w:rPr>
      </w:pPr>
    </w:p>
    <w:p>
      <w:pPr>
        <w:widowControl/>
        <w:snapToGrid w:val="0"/>
        <w:spacing w:before="100" w:beforeAutospacing="1" w:after="100" w:afterAutospacing="1" w:line="360" w:lineRule="auto"/>
        <w:ind w:firstLine="4200" w:firstLineChars="1400"/>
        <w:jc w:val="left"/>
        <w:rPr>
          <w:rFonts w:ascii="Tahoma" w:hAnsi="Tahoma" w:cs="Tahoma"/>
          <w:kern w:val="0"/>
          <w:sz w:val="30"/>
          <w:szCs w:val="30"/>
          <w:highlight w:val="none"/>
        </w:rPr>
      </w:pPr>
      <w:r>
        <w:rPr>
          <w:rFonts w:ascii="Tahoma" w:hAnsi="Tahoma" w:cs="Tahoma"/>
          <w:kern w:val="0"/>
          <w:sz w:val="30"/>
          <w:szCs w:val="30"/>
          <w:highlight w:val="none"/>
        </w:rPr>
        <w:t>国家外汇管理局湖南省分局</w:t>
      </w:r>
    </w:p>
    <w:p>
      <w:pPr>
        <w:widowControl/>
        <w:snapToGrid w:val="0"/>
        <w:spacing w:before="100" w:beforeAutospacing="1" w:after="100" w:afterAutospacing="1" w:line="360" w:lineRule="auto"/>
        <w:ind w:firstLine="5700" w:firstLineChars="1900"/>
        <w:jc w:val="left"/>
        <w:rPr>
          <w:rFonts w:ascii="Tahoma" w:hAnsi="Tahoma" w:cs="Tahoma"/>
          <w:kern w:val="0"/>
          <w:sz w:val="30"/>
          <w:szCs w:val="30"/>
          <w:highlight w:val="none"/>
        </w:rPr>
      </w:pPr>
      <w:r>
        <w:rPr>
          <w:rFonts w:ascii="Tahoma" w:hAnsi="Tahoma" w:cs="Tahoma"/>
          <w:kern w:val="0"/>
          <w:sz w:val="30"/>
          <w:szCs w:val="30"/>
          <w:highlight w:val="none"/>
        </w:rPr>
        <w:t>年 月 日</w:t>
      </w:r>
    </w:p>
    <w:p>
      <w:pPr>
        <w:widowControl/>
        <w:spacing w:before="100" w:beforeAutospacing="1" w:after="100" w:afterAutospacing="1"/>
        <w:jc w:val="left"/>
        <w:rPr>
          <w:rFonts w:ascii="Tahoma" w:hAnsi="Tahoma" w:cs="Tahoma"/>
          <w:kern w:val="0"/>
          <w:sz w:val="30"/>
          <w:szCs w:val="30"/>
          <w:highlight w:val="none"/>
        </w:rPr>
      </w:pPr>
    </w:p>
    <w:p>
      <w:pPr>
        <w:widowControl/>
        <w:spacing w:before="100" w:beforeAutospacing="1" w:after="100" w:afterAutospacing="1"/>
        <w:jc w:val="left"/>
        <w:rPr>
          <w:rFonts w:ascii="Tahoma" w:hAnsi="Tahoma" w:cs="Tahoma"/>
          <w:kern w:val="0"/>
          <w:sz w:val="30"/>
          <w:szCs w:val="30"/>
          <w:highlight w:val="none"/>
        </w:rPr>
      </w:pPr>
      <w:r>
        <w:rPr>
          <w:rFonts w:ascii="Tahoma" w:hAnsi="Tahoma" w:cs="Tahoma"/>
          <w:kern w:val="0"/>
          <w:sz w:val="30"/>
          <w:szCs w:val="30"/>
          <w:highlight w:val="none"/>
        </w:rPr>
        <w:t>附件1.6</w:t>
      </w:r>
    </w:p>
    <w:p>
      <w:pPr>
        <w:widowControl/>
        <w:jc w:val="left"/>
        <w:rPr>
          <w:rFonts w:ascii="Tahoma" w:hAnsi="Tahoma" w:cs="Tahoma"/>
          <w:kern w:val="0"/>
          <w:sz w:val="30"/>
          <w:szCs w:val="30"/>
          <w:highlight w:val="none"/>
        </w:rPr>
      </w:pPr>
    </w:p>
    <w:p>
      <w:pPr>
        <w:widowControl/>
        <w:spacing w:before="100" w:beforeAutospacing="1" w:after="100" w:afterAutospacing="1"/>
        <w:jc w:val="center"/>
        <w:rPr>
          <w:rFonts w:hint="eastAsia" w:ascii="黑体" w:hAnsi="黑体" w:eastAsia="黑体" w:cs="黑体"/>
          <w:kern w:val="0"/>
          <w:sz w:val="36"/>
          <w:szCs w:val="36"/>
          <w:highlight w:val="none"/>
        </w:rPr>
      </w:pPr>
      <w:r>
        <w:rPr>
          <w:rFonts w:hint="eastAsia" w:ascii="黑体" w:hAnsi="黑体" w:eastAsia="黑体" w:cs="黑体"/>
          <w:kern w:val="0"/>
          <w:sz w:val="36"/>
          <w:szCs w:val="36"/>
          <w:highlight w:val="none"/>
        </w:rPr>
        <w:t>国际收支统计申报解除“不申报、不解付”</w:t>
      </w:r>
    </w:p>
    <w:p>
      <w:pPr>
        <w:widowControl/>
        <w:spacing w:before="100" w:beforeAutospacing="1" w:after="100" w:afterAutospacing="1"/>
        <w:jc w:val="center"/>
        <w:rPr>
          <w:rFonts w:hint="eastAsia" w:ascii="黑体" w:hAnsi="黑体" w:eastAsia="黑体" w:cs="黑体"/>
          <w:kern w:val="0"/>
          <w:sz w:val="36"/>
          <w:szCs w:val="36"/>
          <w:highlight w:val="none"/>
        </w:rPr>
      </w:pPr>
      <w:r>
        <w:rPr>
          <w:rFonts w:hint="eastAsia" w:ascii="黑体" w:hAnsi="黑体" w:eastAsia="黑体" w:cs="黑体"/>
          <w:kern w:val="0"/>
          <w:sz w:val="36"/>
          <w:szCs w:val="36"/>
          <w:highlight w:val="none"/>
        </w:rPr>
        <w:t>特殊处理措施通知书</w:t>
      </w:r>
    </w:p>
    <w:p>
      <w:pPr>
        <w:widowControl/>
        <w:spacing w:before="100" w:beforeAutospacing="1" w:after="100" w:afterAutospacing="1"/>
        <w:jc w:val="left"/>
        <w:rPr>
          <w:rFonts w:ascii="Tahoma" w:hAnsi="Tahoma" w:cs="Tahoma"/>
          <w:kern w:val="0"/>
          <w:sz w:val="30"/>
          <w:szCs w:val="30"/>
          <w:highlight w:val="none"/>
        </w:rPr>
      </w:pPr>
      <w:r>
        <w:rPr>
          <w:rFonts w:ascii="Tahoma" w:hAnsi="Tahoma" w:cs="Tahoma"/>
          <w:kern w:val="0"/>
          <w:sz w:val="30"/>
          <w:szCs w:val="30"/>
          <w:highlight w:val="none"/>
        </w:rPr>
        <w:t>（机构申报主体名称）：</w:t>
      </w:r>
    </w:p>
    <w:p>
      <w:pPr>
        <w:widowControl/>
        <w:snapToGrid w:val="0"/>
        <w:spacing w:before="100" w:beforeAutospacing="1" w:after="100" w:afterAutospacing="1" w:line="360" w:lineRule="auto"/>
        <w:ind w:firstLine="600" w:firstLineChars="200"/>
        <w:jc w:val="left"/>
        <w:rPr>
          <w:rFonts w:ascii="Tahoma" w:hAnsi="Tahoma" w:cs="Tahoma"/>
          <w:kern w:val="0"/>
          <w:sz w:val="30"/>
          <w:szCs w:val="30"/>
          <w:highlight w:val="none"/>
        </w:rPr>
      </w:pPr>
      <w:r>
        <w:rPr>
          <w:rFonts w:ascii="Tahoma" w:hAnsi="Tahoma" w:cs="Tahoma"/>
          <w:kern w:val="0"/>
          <w:sz w:val="30"/>
          <w:szCs w:val="30"/>
          <w:highlight w:val="none"/>
        </w:rPr>
        <w:t>根据《国际收支统计申报办法》和《</w:t>
      </w:r>
      <w:r>
        <w:rPr>
          <w:rFonts w:hint="eastAsia" w:ascii="Tahoma" w:hAnsi="Tahoma" w:cs="Tahoma"/>
          <w:kern w:val="0"/>
          <w:sz w:val="30"/>
          <w:szCs w:val="30"/>
          <w:highlight w:val="none"/>
          <w:lang w:eastAsia="zh-CN"/>
        </w:rPr>
        <w:t>通过银行进行国际收支统计申报业务实施细则</w:t>
      </w:r>
      <w:r>
        <w:rPr>
          <w:rFonts w:ascii="Tahoma" w:hAnsi="Tahoma" w:cs="Tahoma"/>
          <w:kern w:val="0"/>
          <w:sz w:val="30"/>
          <w:szCs w:val="30"/>
          <w:highlight w:val="none"/>
        </w:rPr>
        <w:t>》的有关规定，你单位已按规定履行申报义务，完成年　月至 年　月逾期未申报的　　笔 美元涉外收入款项的补申报手续。根据《关于对机构申报主体解除“不申报、不解付”特殊处理措施机构名单的通报》的要求，自 年 月 日起解除对你单位的“不申报、不解付”特殊处理措施。</w:t>
      </w:r>
    </w:p>
    <w:p>
      <w:pPr>
        <w:widowControl/>
        <w:snapToGrid w:val="0"/>
        <w:spacing w:before="100" w:beforeAutospacing="1" w:after="100" w:afterAutospacing="1" w:line="360" w:lineRule="auto"/>
        <w:ind w:firstLine="600" w:firstLineChars="200"/>
        <w:jc w:val="left"/>
        <w:rPr>
          <w:rFonts w:ascii="Tahoma" w:hAnsi="Tahoma" w:cs="Tahoma"/>
          <w:kern w:val="0"/>
          <w:sz w:val="30"/>
          <w:szCs w:val="30"/>
          <w:highlight w:val="none"/>
        </w:rPr>
      </w:pPr>
      <w:r>
        <w:rPr>
          <w:rFonts w:ascii="Tahoma" w:hAnsi="Tahoma" w:cs="Tahoma"/>
          <w:kern w:val="0"/>
          <w:sz w:val="30"/>
          <w:szCs w:val="30"/>
          <w:highlight w:val="none"/>
        </w:rPr>
        <w:t>特此通知。</w:t>
      </w:r>
    </w:p>
    <w:p>
      <w:pPr>
        <w:widowControl/>
        <w:snapToGrid w:val="0"/>
        <w:spacing w:before="100" w:beforeAutospacing="1" w:after="100" w:afterAutospacing="1" w:line="360" w:lineRule="auto"/>
        <w:jc w:val="right"/>
        <w:rPr>
          <w:rFonts w:ascii="Tahoma" w:hAnsi="Tahoma" w:cs="Tahoma"/>
          <w:kern w:val="0"/>
          <w:sz w:val="30"/>
          <w:szCs w:val="30"/>
          <w:highlight w:val="none"/>
        </w:rPr>
      </w:pPr>
      <w:r>
        <w:rPr>
          <w:rFonts w:ascii="Tahoma" w:hAnsi="Tahoma" w:cs="Tahoma"/>
          <w:kern w:val="0"/>
          <w:sz w:val="30"/>
          <w:szCs w:val="30"/>
          <w:highlight w:val="none"/>
        </w:rPr>
        <w:t>国家外汇管理局</w:t>
      </w:r>
      <w:r>
        <w:rPr>
          <w:rFonts w:hint="eastAsia" w:ascii="Tahoma" w:hAnsi="Tahoma" w:cs="Tahoma"/>
          <w:kern w:val="0"/>
          <w:sz w:val="30"/>
          <w:szCs w:val="30"/>
          <w:highlight w:val="none"/>
          <w:lang w:val="en-US" w:eastAsia="zh-CN"/>
        </w:rPr>
        <w:t>XX分</w:t>
      </w:r>
      <w:r>
        <w:rPr>
          <w:rFonts w:ascii="Tahoma" w:hAnsi="Tahoma" w:cs="Tahoma"/>
          <w:kern w:val="0"/>
          <w:sz w:val="30"/>
          <w:szCs w:val="30"/>
          <w:highlight w:val="none"/>
        </w:rPr>
        <w:t>局</w:t>
      </w:r>
    </w:p>
    <w:p>
      <w:pPr>
        <w:widowControl/>
        <w:snapToGrid w:val="0"/>
        <w:spacing w:before="100" w:beforeAutospacing="1" w:after="100" w:afterAutospacing="1" w:line="360" w:lineRule="auto"/>
        <w:ind w:firstLine="6300" w:firstLineChars="2100"/>
        <w:jc w:val="left"/>
        <w:rPr>
          <w:rFonts w:ascii="Tahoma" w:hAnsi="Tahoma" w:cs="Tahoma"/>
          <w:kern w:val="0"/>
          <w:sz w:val="30"/>
          <w:szCs w:val="30"/>
          <w:highlight w:val="none"/>
        </w:rPr>
      </w:pPr>
      <w:r>
        <w:rPr>
          <w:rFonts w:ascii="Tahoma" w:hAnsi="Tahoma" w:cs="Tahoma"/>
          <w:kern w:val="0"/>
          <w:sz w:val="30"/>
          <w:szCs w:val="30"/>
          <w:highlight w:val="none"/>
        </w:rPr>
        <w:t>年 月 日</w:t>
      </w:r>
    </w:p>
    <w:p>
      <w:pPr>
        <w:rPr>
          <w:sz w:val="30"/>
          <w:szCs w:val="30"/>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F5AE0"/>
    <w:rsid w:val="008271B2"/>
    <w:rsid w:val="00C014D5"/>
    <w:rsid w:val="00F574EA"/>
    <w:rsid w:val="058A5726"/>
    <w:rsid w:val="0676641E"/>
    <w:rsid w:val="071F5AE0"/>
    <w:rsid w:val="07445169"/>
    <w:rsid w:val="0AF00790"/>
    <w:rsid w:val="101175B3"/>
    <w:rsid w:val="17B30D63"/>
    <w:rsid w:val="1A7A6085"/>
    <w:rsid w:val="1CBE404F"/>
    <w:rsid w:val="1F322AC3"/>
    <w:rsid w:val="27F076FD"/>
    <w:rsid w:val="2AD25C33"/>
    <w:rsid w:val="304D014A"/>
    <w:rsid w:val="33480016"/>
    <w:rsid w:val="34C465E7"/>
    <w:rsid w:val="3A707FAB"/>
    <w:rsid w:val="3C593CC0"/>
    <w:rsid w:val="4582136D"/>
    <w:rsid w:val="4B8417AB"/>
    <w:rsid w:val="4F2D6443"/>
    <w:rsid w:val="55E82EA8"/>
    <w:rsid w:val="5AAE4461"/>
    <w:rsid w:val="5C9640AD"/>
    <w:rsid w:val="72FB3E75"/>
    <w:rsid w:val="74094463"/>
    <w:rsid w:val="74B44BB8"/>
    <w:rsid w:val="793C4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3882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2022-08-25T01:34:00Z</dcterms:created>
  <dc:creator>麻艺凡</dc:creator>
  <cp:lastModifiedBy>谭薇</cp:lastModifiedBy>
  <cp:lastPrinted>2022-10-31T01:50:00Z</cp:lastPrinted>
  <dcterms:modified xsi:type="dcterms:W3CDTF">2024-01-29T07:14:47Z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27497661C5104622983EB65BC67B5EA7</vt:lpwstr>
  </property>
</Properties>
</file>