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jc w:val="center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编号：5700</w:t>
      </w:r>
      <w:r>
        <w:rPr>
          <w:rFonts w:hint="eastAsia" w:ascii="Times New Roman" w:hAnsi="Times New Roman" w:eastAsia="黑体" w:cs="Times New Roman"/>
          <w:sz w:val="48"/>
          <w:szCs w:val="48"/>
          <w:lang w:val="en-US" w:eastAsia="zh-CN"/>
        </w:rPr>
        <w:t>1</w:t>
      </w:r>
      <w:r>
        <w:rPr>
          <w:rFonts w:ascii="Times New Roman" w:hAnsi="Times New Roman" w:eastAsia="黑体" w:cs="Times New Roman"/>
          <w:sz w:val="48"/>
          <w:szCs w:val="48"/>
        </w:rPr>
        <w:t>-</w:t>
      </w:r>
      <w:r>
        <w:rPr>
          <w:rFonts w:hint="eastAsia" w:ascii="Times New Roman" w:hAnsi="Times New Roman" w:eastAsia="黑体" w:cs="Times New Roman"/>
          <w:sz w:val="48"/>
          <w:szCs w:val="48"/>
          <w:lang w:val="en-US" w:eastAsia="zh-CN"/>
        </w:rPr>
        <w:t>2</w:t>
      </w:r>
      <w:r>
        <w:rPr>
          <w:rFonts w:ascii="Times New Roman" w:hAnsi="Times New Roman" w:eastAsia="黑体" w:cs="Times New Roman"/>
          <w:sz w:val="48"/>
          <w:szCs w:val="48"/>
        </w:rPr>
        <w:t xml:space="preserve">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_x0000_i1025" o:spt="75" type="#_x0000_t75" style="height:69.6pt;width:86.9pt;" fillcolor="#FFFFFF" filled="f" o:preferrelative="t" stroked="f" coordsize="21600,21600">
            <v:path/>
            <v:fill on="f" color2="#FFFFFF" focussize="0,0"/>
            <v:stroke on="f"/>
            <v:imagedata r:id="rId7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 xml:space="preserve">“进口付汇事前审核” 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湖南省分局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进口付汇事前审核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   </w:t>
      </w:r>
      <w:r>
        <w:rPr>
          <w:rFonts w:ascii="Times New Roman" w:hAnsi="Times New Roman" w:eastAsia="黑体" w:cs="Times New Roman"/>
          <w:sz w:val="30"/>
          <w:szCs w:val="30"/>
        </w:rPr>
        <w:t>一、办理依据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（二）《国家外汇管理局关于印发货物贸易外汇管理法规有关问题的通知》（汇发〔2012〕38号）；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三</w:t>
      </w:r>
      <w:r>
        <w:rPr>
          <w:rFonts w:ascii="Times New Roman" w:hAnsi="Times New Roman" w:eastAsia="仿宋_GB2312" w:cs="Times New Roman"/>
          <w:sz w:val="30"/>
          <w:szCs w:val="30"/>
        </w:rPr>
        <w:t>）《国家外汇管理局关于进一步促进跨境贸易投资便利化的通知》（汇发〔2019〕28号）</w:t>
      </w: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  <w:lang w:bidi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四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《国家外汇管理局关于优化外汇管理 支持涉外业务发展的通知》（汇发〔2020〕8号）；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  <w:lang w:bidi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五</w:t>
      </w:r>
      <w:r>
        <w:rPr>
          <w:rFonts w:ascii="Times New Roman" w:hAnsi="Times New Roman" w:eastAsia="仿宋_GB2312" w:cs="Times New Roman"/>
          <w:sz w:val="30"/>
          <w:szCs w:val="30"/>
        </w:rPr>
        <w:t>）《国家外汇管理局关于印发〈经常项目外汇业务指引（2020年版）〉的通知》（汇发〔2020〕14号）</w:t>
      </w: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</w:t>
      </w:r>
      <w:r>
        <w:rPr>
          <w:rFonts w:ascii="Times New Roman" w:hAnsi="Times New Roman" w:eastAsia="黑体" w:cs="Times New Roman"/>
          <w:sz w:val="30"/>
          <w:szCs w:val="30"/>
        </w:rPr>
        <w:t>、受理机构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和决定机构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湖南省分</w:t>
      </w:r>
      <w:r>
        <w:rPr>
          <w:rFonts w:ascii="Times New Roman" w:hAnsi="Times New Roman" w:eastAsia="仿宋_GB2312" w:cs="Times New Roman"/>
          <w:sz w:val="30"/>
          <w:szCs w:val="30"/>
        </w:rPr>
        <w:t>局。</w:t>
      </w:r>
    </w:p>
    <w:p>
      <w:pPr>
        <w:numPr>
          <w:ilvl w:val="0"/>
          <w:numId w:val="1"/>
        </w:numPr>
        <w:ind w:firstLine="600" w:firstLineChars="200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服务对象</w:t>
      </w:r>
    </w:p>
    <w:p>
      <w:pPr>
        <w:numPr>
          <w:ilvl w:val="0"/>
          <w:numId w:val="0"/>
        </w:numP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辖内进出口企业。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四</w:t>
      </w:r>
      <w:r>
        <w:rPr>
          <w:rFonts w:ascii="Times New Roman" w:hAnsi="Times New Roman" w:eastAsia="黑体" w:cs="Times New Roman"/>
          <w:sz w:val="30"/>
          <w:szCs w:val="30"/>
        </w:rPr>
        <w:t>、审批数量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五</w:t>
      </w:r>
      <w:r>
        <w:rPr>
          <w:rFonts w:ascii="Times New Roman" w:hAnsi="Times New Roman" w:eastAsia="黑体" w:cs="Times New Roman"/>
          <w:sz w:val="30"/>
          <w:szCs w:val="30"/>
        </w:rPr>
        <w:t>、办事条件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（一）申请人条件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1.C类企业；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2.超过付汇额度的B类企业；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3.发生90天以上（不含）延期付款的B类企业；</w:t>
      </w:r>
    </w:p>
    <w:p>
      <w:pPr>
        <w:ind w:firstLine="600" w:firstLineChars="200"/>
        <w:rPr>
          <w:rFonts w:hint="eastAsia" w:ascii="仿宋_GB2312" w:hAnsi="Times New Roman" w:eastAsia="仿宋_GB2312"/>
          <w:sz w:val="30"/>
          <w:szCs w:val="30"/>
          <w:lang w:val="en-US"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</w:t>
      </w:r>
      <w:r>
        <w:rPr>
          <w:rFonts w:hint="eastAsia" w:ascii="仿宋_GB2312" w:hAnsi="Times New Roman" w:eastAsia="仿宋_GB2312"/>
          <w:sz w:val="30"/>
          <w:szCs w:val="30"/>
          <w:lang w:eastAsia="zh-CN"/>
        </w:rPr>
        <w:t>发生</w:t>
      </w:r>
      <w:r>
        <w:rPr>
          <w:rFonts w:hint="eastAsia" w:ascii="仿宋_GB2312" w:hAnsi="Times New Roman" w:eastAsia="仿宋_GB2312"/>
          <w:sz w:val="30"/>
          <w:szCs w:val="30"/>
        </w:rPr>
        <w:t>退汇日期与原收</w:t>
      </w:r>
      <w:r>
        <w:rPr>
          <w:rFonts w:hint="eastAsia" w:ascii="仿宋_GB2312" w:hAnsi="Times New Roman" w:eastAsia="仿宋_GB2312"/>
          <w:sz w:val="30"/>
          <w:szCs w:val="30"/>
          <w:lang w:eastAsia="zh-CN"/>
        </w:rPr>
        <w:t>、</w:t>
      </w:r>
      <w:r>
        <w:rPr>
          <w:rFonts w:hint="eastAsia" w:ascii="仿宋_GB2312" w:hAnsi="Times New Roman" w:eastAsia="仿宋_GB2312"/>
          <w:sz w:val="30"/>
          <w:szCs w:val="30"/>
        </w:rPr>
        <w:t>付款日期间隔在180天（不含）以上</w:t>
      </w:r>
      <w:r>
        <w:rPr>
          <w:rFonts w:hint="eastAsia" w:ascii="仿宋_GB2312" w:hAnsi="Times New Roman" w:eastAsia="仿宋_GB2312"/>
          <w:sz w:val="30"/>
          <w:szCs w:val="30"/>
          <w:lang w:eastAsia="zh-CN"/>
        </w:rPr>
        <w:t>或由于特殊情况无法原路退汇的企业（</w:t>
      </w:r>
      <w:r>
        <w:rPr>
          <w:rFonts w:hint="eastAsia" w:ascii="仿宋_GB2312" w:hAnsi="Times New Roman" w:eastAsia="仿宋_GB2312"/>
          <w:sz w:val="30"/>
          <w:szCs w:val="30"/>
          <w:lang w:val="en-US" w:eastAsia="zh-CN"/>
        </w:rPr>
        <w:t>A类企业单笔等值5万美元（不含）以下退汇业务除外</w:t>
      </w:r>
      <w:r>
        <w:rPr>
          <w:rFonts w:hint="eastAsia" w:ascii="仿宋_GB2312" w:hAnsi="Times New Roman" w:eastAsia="仿宋_GB2312"/>
          <w:sz w:val="30"/>
          <w:szCs w:val="30"/>
          <w:lang w:eastAsia="zh-CN"/>
        </w:rPr>
        <w:t>），贸易外汇收支便利化试点企业免于事前登记</w:t>
      </w:r>
      <w:r>
        <w:rPr>
          <w:rFonts w:hint="eastAsia" w:ascii="仿宋_GB2312" w:hAnsi="Times New Roman" w:eastAsia="仿宋_GB2312"/>
          <w:sz w:val="30"/>
          <w:szCs w:val="30"/>
          <w:lang w:val="en-US" w:eastAsia="zh-CN"/>
        </w:rPr>
        <w:t>;</w:t>
      </w:r>
    </w:p>
    <w:p>
      <w:pPr>
        <w:ind w:firstLine="600" w:firstLineChars="200"/>
        <w:rPr>
          <w:rFonts w:hint="eastAsia" w:ascii="仿宋_GB2312" w:hAnsi="Times New Roman" w:eastAsia="仿宋_GB2312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/>
          <w:sz w:val="30"/>
          <w:szCs w:val="30"/>
          <w:shd w:val="clear" w:color="auto" w:fill="auto"/>
        </w:rPr>
        <w:t>5</w:t>
      </w:r>
      <w:r>
        <w:rPr>
          <w:rFonts w:hint="eastAsia" w:ascii="仿宋_GB2312" w:hAnsi="Times New Roman" w:eastAsia="仿宋_GB2312"/>
          <w:sz w:val="30"/>
          <w:szCs w:val="30"/>
          <w:shd w:val="clear" w:color="auto" w:fill="auto"/>
          <w:lang w:val="en-US" w:eastAsia="zh-CN"/>
        </w:rPr>
        <w:t>.</w:t>
      </w:r>
      <w:r>
        <w:rPr>
          <w:rFonts w:hint="eastAsia" w:ascii="仿宋_GB2312" w:hAnsi="Times New Roman" w:eastAsia="仿宋_GB2312"/>
          <w:sz w:val="30"/>
          <w:szCs w:val="30"/>
          <w:shd w:val="clear" w:color="auto" w:fill="auto"/>
        </w:rPr>
        <w:t>需要将待核查账户资本项目资金结汇或划出的企业</w:t>
      </w:r>
      <w:r>
        <w:rPr>
          <w:rFonts w:hint="eastAsia" w:ascii="仿宋_GB2312" w:hAnsi="Times New Roman" w:eastAsia="仿宋_GB2312"/>
          <w:sz w:val="30"/>
          <w:szCs w:val="30"/>
          <w:shd w:val="clear" w:color="auto" w:fill="auto"/>
          <w:lang w:eastAsia="zh-CN"/>
        </w:rPr>
        <w:t>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0"/>
          <w:szCs w:val="30"/>
        </w:rPr>
        <w:t>.办理新出现的贸易新业态外汇支出业务的企业。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（二）具备或符合如下条件的，准予批准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1.对于C类企业：</w:t>
      </w:r>
    </w:p>
    <w:p>
      <w:pPr>
        <w:ind w:firstLine="600" w:firstLineChars="200"/>
        <w:contextualSpacing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交易合规：C类企业原则上不得办理90天以上（不含）的远期信用证（含展期）、海外代付等进口贸易融资业务；不得办理90天以上（不含）的延期付款、托收业务；不得办理离岸转手买卖外汇支出；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2.对于超过付汇额度的B类企业：</w:t>
      </w:r>
    </w:p>
    <w:p>
      <w:pPr>
        <w:ind w:firstLine="600" w:firstLineChars="200"/>
        <w:contextualSpacing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交易合规：B类企业原则上不得办理90天以上（不含）的延期付款业务；不得办理离岸转手买卖外汇支出；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3.对于90天以上（不含）延期付款的B类企业：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交易合规：在分类监管有效期内，此前导致降级的情况已改善或纠正，且没有发生法规规定情形的，自列入B类之日起6个月后，可经外汇局登记办理该业务。</w:t>
      </w:r>
    </w:p>
    <w:p>
      <w:pPr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0"/>
          <w:szCs w:val="30"/>
        </w:rPr>
        <w:t>4.对于超期限或无法原路退汇的企业：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交易合规。</w:t>
      </w:r>
    </w:p>
    <w:p>
      <w:pPr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 5</w:t>
      </w:r>
      <w:r>
        <w:rPr>
          <w:rFonts w:ascii="Times New Roman" w:hAnsi="Times New Roman" w:eastAsia="仿宋_GB2312" w:cs="Times New Roman"/>
          <w:sz w:val="30"/>
          <w:szCs w:val="30"/>
        </w:rPr>
        <w:t>.对于新出现的贸易新业态外汇支出业务：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禁止性要求：1.申请材料不齐全，不符合法规规定。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2.申请业务不具有真实、合法的交易背景。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六</w:t>
      </w:r>
      <w:r>
        <w:rPr>
          <w:rFonts w:ascii="Times New Roman" w:hAnsi="Times New Roman" w:eastAsia="黑体" w:cs="Times New Roman"/>
          <w:sz w:val="30"/>
          <w:szCs w:val="30"/>
        </w:rPr>
        <w:t>、申请材料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（一）C类企业进口付汇登记申请材料清单</w:t>
      </w:r>
    </w:p>
    <w:tbl>
      <w:tblPr>
        <w:tblStyle w:val="5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346"/>
        <w:gridCol w:w="1417"/>
        <w:gridCol w:w="425"/>
        <w:gridCol w:w="851"/>
        <w:gridCol w:w="2268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加盖企业公章的原件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说明需登记的事项和具体内容。对于贸易收汇的退汇支付，应在书面申请中具体说明退汇原因以及退汇同时是否发生货物退运。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对于代理进口业务，代理方为C类企业的，应当按规定办理贸易外汇支出登记。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1.一般情况应提交进口合同；2.对于贸易收汇的退汇支付，因错误汇入以外的其他原因产生的，提交原出口合同。</w:t>
            </w:r>
          </w:p>
        </w:tc>
        <w:tc>
          <w:tcPr>
            <w:tcW w:w="992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发票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预付货款方式结算时提供发票。</w:t>
            </w:r>
          </w:p>
        </w:tc>
        <w:tc>
          <w:tcPr>
            <w:tcW w:w="992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1.除信用证、托收、预付货款外其他方式结算，货物已进口报关的，需提供报关单，货物不报关的，可提供运输单据等其他材料；2.发生货物退运而产生贸易收汇退汇支付时应提供。 </w:t>
            </w:r>
          </w:p>
        </w:tc>
        <w:tc>
          <w:tcPr>
            <w:tcW w:w="992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捐赠协议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对于进口与支出主体不一致的业务，属于捐赠进口业务的，应提交捐赠协议。</w:t>
            </w:r>
          </w:p>
        </w:tc>
        <w:tc>
          <w:tcPr>
            <w:tcW w:w="992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分立、合并证明文件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因企业分立、合并原因导致进口与支出主体不一致的，应提交相关部门出具的分立、合并证明文件。 </w:t>
            </w:r>
          </w:p>
        </w:tc>
        <w:tc>
          <w:tcPr>
            <w:tcW w:w="992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Style w:val="13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原收汇凭证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贸易收汇退汇时提供原收汇凭证。</w:t>
            </w:r>
          </w:p>
        </w:tc>
        <w:tc>
          <w:tcPr>
            <w:tcW w:w="992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Style w:val="13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退汇协议、错汇说明等证明付汇真实性的材料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268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（二）超过付汇额度的B类企业进口付汇登记申请材料清单</w:t>
      </w:r>
    </w:p>
    <w:tbl>
      <w:tblPr>
        <w:tblStyle w:val="5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352"/>
        <w:gridCol w:w="1244"/>
        <w:gridCol w:w="457"/>
        <w:gridCol w:w="851"/>
        <w:gridCol w:w="3218"/>
        <w:gridCol w:w="1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32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加盖企业公章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321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说明为B类企业及具有超过可付汇额度付汇需要。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对于代理业务，代理方为B类企业且可付汇额度不足的，应当按规定办理贸易外汇支出登记。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可付汇额度不足的证明材料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3218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合同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321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 一般情况应提交进口合同；2.对于贸易收汇的退汇支付，因错误汇入以外的其他原因产生的，提交原出口合同。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发票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321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预付货款方式结算时提供发票。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321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 除信用证、托收、预付货款外其他方式结算的，货物已进口报关的，需提供报关单，货物不报关的，可提供运输单据等其他材料；2.发生货物退运而产生贸易收汇退汇支付时应提供。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捐赠协议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321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对于进口与支出主体不一致的业务，属于捐赠进口业务的，应提交捐赠协议。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分立、合并证明文件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321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因企业分立、合并原因导致进口与支出主体不一致的，应提交相关部门出具的分立、合并证明文件。 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原收汇凭证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纸纸质</w:t>
            </w:r>
          </w:p>
        </w:tc>
        <w:tc>
          <w:tcPr>
            <w:tcW w:w="321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贸易收汇退汇时提供原收汇凭证。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退汇协议、错汇说明等证明付汇真实性的材料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321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（三）90天以上延期付款的B类企业进口付汇登记申请材料清单</w:t>
      </w:r>
    </w:p>
    <w:tbl>
      <w:tblPr>
        <w:tblStyle w:val="5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352"/>
        <w:gridCol w:w="1985"/>
        <w:gridCol w:w="992"/>
        <w:gridCol w:w="851"/>
        <w:gridCol w:w="1701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加盖企业公章的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说明需登记的事项和具体内容。 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进口合同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进口货物报关单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货物不报关的可提供运输单据等其他材料</w:t>
            </w:r>
          </w:p>
        </w:tc>
        <w:tc>
          <w:tcPr>
            <w:tcW w:w="1275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需90天以上延期付款的证明材料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（四）超期限或无法原路退汇的企业付汇登记申请材料清单</w:t>
      </w:r>
    </w:p>
    <w:tbl>
      <w:tblPr>
        <w:tblStyle w:val="5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486"/>
        <w:gridCol w:w="993"/>
        <w:gridCol w:w="457"/>
        <w:gridCol w:w="818"/>
        <w:gridCol w:w="1701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加盖企业公章的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说明需要登记事项的具体内容，超期限或无法原路退汇的原因，退汇同时是否发生货物退运。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超期限或无法原路退汇的证明材料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原收汇凭证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原出口合同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因错误汇入以外的其他原因产生的贸易收汇退汇，提供原出口合同。 </w:t>
            </w:r>
          </w:p>
        </w:tc>
        <w:tc>
          <w:tcPr>
            <w:tcW w:w="1701" w:type="dxa"/>
            <w:vMerge w:val="continue"/>
            <w:vAlign w:val="top"/>
          </w:tcPr>
          <w:p>
            <w:pPr>
              <w:keepNext/>
              <w:keepLines/>
              <w:spacing w:before="260" w:after="260" w:line="41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发生货物退运时提供进口报关单。</w:t>
            </w:r>
          </w:p>
        </w:tc>
        <w:tc>
          <w:tcPr>
            <w:tcW w:w="1701" w:type="dxa"/>
            <w:vMerge w:val="continue"/>
            <w:vAlign w:val="top"/>
          </w:tcPr>
          <w:p>
            <w:pPr>
              <w:keepNext/>
              <w:keepLines/>
              <w:spacing w:before="260" w:after="260" w:line="41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（五）新出现的贸易新业态进口付汇登记申请材料清单</w:t>
      </w:r>
    </w:p>
    <w:tbl>
      <w:tblPr>
        <w:tblStyle w:val="5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778"/>
        <w:gridCol w:w="1417"/>
        <w:gridCol w:w="567"/>
        <w:gridCol w:w="992"/>
        <w:gridCol w:w="1701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加盖企业公章的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说明需登记的事项和具体内容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说明登记业务真实性和合理性的材料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七</w:t>
      </w:r>
      <w:r>
        <w:rPr>
          <w:rFonts w:ascii="Times New Roman" w:hAnsi="Times New Roman" w:eastAsia="黑体" w:cs="Times New Roman"/>
          <w:sz w:val="30"/>
          <w:szCs w:val="30"/>
        </w:rPr>
        <w:t>、申请接受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申请人可通过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国家外汇管理局湖南省分局经常项目管理处业务窗口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提交材料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八</w:t>
      </w:r>
      <w:r>
        <w:rPr>
          <w:rFonts w:ascii="Times New Roman" w:hAnsi="Times New Roman" w:eastAsia="黑体" w:cs="Times New Roman"/>
          <w:sz w:val="30"/>
          <w:szCs w:val="30"/>
        </w:rPr>
        <w:t>、基本办理流程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（一）申请人提交申请；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（二）决定是否予以受理；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（三）不属于本机构受理范围的，出具不予受理行政许可通知书； 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（四）属于本机构受理范围的，审核申请材料是否齐全或符合法定形式；材料不全或不符合法定形式的，一次性告知补正材料，并出具行政许可补正通知书；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（五）材料齐全的，依法予以受理，并出具行政许可受理通知书；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（六）不予许可的，做出不予许可的行政许可书面决定并说明理由；予以许可的，出具贸易外汇业务登记表或备案通知书。</w:t>
      </w:r>
    </w:p>
    <w:p>
      <w:pPr>
        <w:tabs>
          <w:tab w:val="left" w:pos="615"/>
        </w:tabs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九</w:t>
      </w:r>
      <w:r>
        <w:rPr>
          <w:rFonts w:ascii="Times New Roman" w:hAnsi="Times New Roman" w:eastAsia="黑体" w:cs="Times New Roman"/>
          <w:sz w:val="30"/>
          <w:szCs w:val="30"/>
        </w:rPr>
        <w:t>、办理方式</w:t>
      </w:r>
    </w:p>
    <w:p>
      <w:pPr>
        <w:tabs>
          <w:tab w:val="left" w:pos="615"/>
        </w:tabs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一般程序：申请、受理、审查、决定。</w:t>
      </w:r>
    </w:p>
    <w:p>
      <w:pPr>
        <w:tabs>
          <w:tab w:val="left" w:pos="615"/>
        </w:tabs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十、审批时限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一</w:t>
      </w:r>
      <w:r>
        <w:rPr>
          <w:rFonts w:ascii="Times New Roman" w:hAnsi="Times New Roman" w:eastAsia="黑体" w:cs="Times New Roman"/>
          <w:sz w:val="30"/>
          <w:szCs w:val="30"/>
        </w:rPr>
        <w:t>、审批收费依据及标准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</w:t>
      </w:r>
      <w:r>
        <w:rPr>
          <w:rFonts w:ascii="Times New Roman" w:hAnsi="Times New Roman" w:eastAsia="黑体" w:cs="Times New Roman"/>
          <w:sz w:val="30"/>
          <w:szCs w:val="30"/>
        </w:rPr>
        <w:t>、审批结果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外汇局向申请企业出具贸易外汇业务登记表。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三</w:t>
      </w:r>
      <w:r>
        <w:rPr>
          <w:rFonts w:ascii="Times New Roman" w:hAnsi="Times New Roman" w:eastAsia="黑体" w:cs="Times New Roman"/>
          <w:sz w:val="30"/>
          <w:szCs w:val="30"/>
        </w:rPr>
        <w:t>、结果送达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通过电话等方式通知申请企业，并通过现场领取或邮寄等方式将结果送达。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四</w:t>
      </w:r>
      <w:r>
        <w:rPr>
          <w:rFonts w:ascii="Times New Roman" w:hAnsi="Times New Roman" w:eastAsia="黑体" w:cs="Times New Roman"/>
          <w:sz w:val="30"/>
          <w:szCs w:val="30"/>
        </w:rPr>
        <w:t>、申请人权利和义务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widowControl/>
        <w:kinsoku w:val="0"/>
        <w:wordWrap/>
        <w:autoSpaceDE w:val="0"/>
        <w:autoSpaceDN w:val="0"/>
        <w:adjustRightInd/>
        <w:snapToGrid/>
        <w:spacing w:afterLines="50" w:line="560" w:lineRule="exact"/>
        <w:ind w:firstLine="600" w:firstLineChars="200"/>
        <w:jc w:val="both"/>
        <w:textAlignment w:val="baseline"/>
        <w:rPr>
          <w:rFonts w:hint="eastAsia" w:ascii="黑体" w:hAnsi="黑体" w:eastAsia="黑体" w:cs="黑体"/>
          <w:snapToGrid w:val="0"/>
          <w:color w:val="000000"/>
          <w:spacing w:val="7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十五、</w:t>
      </w:r>
      <w:r>
        <w:rPr>
          <w:rFonts w:hint="eastAsia" w:ascii="黑体" w:hAnsi="黑体" w:eastAsia="黑体" w:cs="黑体"/>
          <w:snapToGrid w:val="0"/>
          <w:color w:val="000000"/>
          <w:spacing w:val="7"/>
          <w:kern w:val="0"/>
          <w:sz w:val="30"/>
          <w:szCs w:val="30"/>
          <w:lang w:eastAsia="zh-CN"/>
        </w:rPr>
        <w:t>办理地点、时间及联系方式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办公地址：长沙市芙蓉区蔡锷中路2号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B座一楼政务大厅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办公时间：5月1日-9月30日：8:30-12:00；14:00-17:00;其他日期：8:30-12:00；14:30-17:30（法定节假日除外）。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联系电话：0731-84301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622;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通讯地址：长沙市芙蓉区蔡锷中路2号中国人民银行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湖南省分行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B座一楼政务大厅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邮政编码：410005。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26" o:spid="_x0000_s1026" o:spt="116" type="#_x0000_t116" style="position:absolute;left:0pt;margin-left:-5.25pt;margin-top:4.45pt;height:70.75pt;width:99.8pt;z-index:251659264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申请人提出申请，并提交材料</w:t>
                  </w:r>
                </w:p>
              </w:txbxContent>
            </v:textbox>
          </v:shape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27" o:spid="_x0000_s1027" o:spt="32" type="#_x0000_t32" style="position:absolute;left:0pt;margin-left:39.8pt;margin-top:12.8pt;height:43.4pt;width:0.8pt;z-index:251660288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28" o:spid="_x0000_s1028" o:spt="32" type="#_x0000_t32" style="position:absolute;left:0pt;flip:x;margin-left:41.45pt;margin-top:21.05pt;height:0.05pt;width:232.15pt;z-index:251661312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_x0000_s1029" o:spid="_x0000_s1029" o:spt="1" style="position:absolute;left:0pt;margin-left:273.6pt;margin-top:1.6pt;height:33.7pt;width:146.45pt;z-index:251662336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30" o:spid="_x0000_s1030" o:spt="32" type="#_x0000_t32" style="position:absolute;left:0pt;margin-left:41.45pt;margin-top:125.3pt;height:57.55pt;width:0.05pt;z-index:251663360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31" o:spid="_x0000_s1031" o:spt="32" type="#_x0000_t32" style="position:absolute;left:0pt;margin-left:99.95pt;margin-top:92.5pt;height:0.05pt;width:52pt;z-index:251664384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_x0000_s1032" o:spid="_x0000_s1032" o:spt="1" style="position:absolute;left:0pt;margin-left:151.95pt;margin-top:80pt;height:45.3pt;width:268.1pt;z-index:251665408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33" o:spid="_x0000_s1033" o:spt="116" type="#_x0000_t116" style="position:absolute;left:0pt;margin-left:-5.25pt;margin-top:375.2pt;height:63.55pt;width:197.6pt;z-index:251666432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予以许可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34" o:spid="_x0000_s1034" o:spt="116" type="#_x0000_t116" style="position:absolute;left:0pt;margin-left:198.8pt;margin-top:375.2pt;height:63.55pt;width:180.85pt;z-index:251667456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依法作出不予许可决定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35" o:spid="_x0000_s1035" o:spt="32" type="#_x0000_t32" style="position:absolute;left:0pt;margin-left:237.25pt;margin-top:323.1pt;height:52.1pt;width:0.05pt;z-index:251668480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36" o:spid="_x0000_s1036" o:spt="32" type="#_x0000_t32" style="position:absolute;left:0pt;margin-left:117.65pt;margin-top:323.1pt;height:52.1pt;width:0.05pt;z-index:251669504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37" o:spid="_x0000_s1037" o:spt="110" type="#_x0000_t110" style="position:absolute;left:0pt;margin-left:94.55pt;margin-top:265.4pt;height:86.2pt;width:166.25pt;z-index:251670528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/>
                <w:p>
                  <w:pPr>
                    <w:ind w:firstLine="315" w:firstLineChars="150"/>
                  </w:pPr>
                  <w:r>
                    <w:rPr>
                      <w:rFonts w:hint="eastAsia"/>
                    </w:rPr>
                    <w:t>审查报批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38" o:spid="_x0000_s1038" o:spt="32" type="#_x0000_t32" style="position:absolute;left:0pt;margin-left:179.6pt;margin-top:231.45pt;height:33.95pt;width:0.05pt;z-index:251671552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39" o:spid="_x0000_s1039" o:spt="32" type="#_x0000_t32" style="position:absolute;left:0pt;margin-left:103.8pt;margin-top:61.4pt;height:0.05pt;width:48.15pt;z-index:251672576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40" o:spid="_x0000_s1040" o:spt="110" type="#_x0000_t110" style="position:absolute;left:0pt;margin-left:-42.55pt;margin-top:25pt;height:100.3pt;width:166.25pt;z-index:251673600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接件并于5个工作日内作出是否受理决定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_x0000_s1041" o:spid="_x0000_s1041" o:spt="1" style="position:absolute;left:0pt;margin-left:81.7pt;margin-top:162.05pt;height:69.4pt;width:210.9pt;z-index:251674624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材料齐全的，依法予以受理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42" o:spid="_x0000_s1042" o:spt="32" type="#_x0000_t32" style="position:absolute;left:0pt;margin-left:40.6pt;margin-top:182.85pt;height:0.05pt;width:41.1pt;z-index:251675648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43" o:spid="_x0000_s1043" o:spt="32" type="#_x0000_t32" style="position:absolute;left:0pt;flip:y;margin-left:345.35pt;margin-top:4.1pt;height:44.75pt;width:0.05pt;z-index:251676672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_x0000_s1044" o:spid="_x0000_s1044" o:spt="1" style="position:absolute;left:0pt;margin-left:151.95pt;margin-top:48.85pt;height:25pt;width:268.1pt;z-index:251677696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</w:txbxContent>
            </v:textbox>
          </v:rect>
        </w:pic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附录二（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材料示范文本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kern w:val="0"/>
          <w:sz w:val="30"/>
          <w:szCs w:val="30"/>
        </w:rPr>
        <w:t>申请书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国家外汇管理局XX分（支）局：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br w:type="textWrapping"/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　　一、申请业务的基本情况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包括但不限于：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eastAsia="zh-CN"/>
        </w:rPr>
        <w:t>企业统一社会信用代码、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业务基本情况介绍、业务类别、结算方式、经办金融机构名称、币种和金额等。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二、申请事项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包括但不限于：需登记的事项，原因（如按法规规定需说明原因的）等其他内容。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三、其他需说明的情况（如无，可不填写）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br w:type="textWrapping"/>
      </w:r>
    </w:p>
    <w:p>
      <w:pPr>
        <w:widowControl/>
        <w:spacing w:line="384" w:lineRule="auto"/>
        <w:ind w:right="600"/>
        <w:jc w:val="center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 xml:space="preserve">                                 单位（盖章）：</w:t>
      </w:r>
    </w:p>
    <w:p>
      <w:pPr>
        <w:widowControl/>
        <w:spacing w:line="384" w:lineRule="auto"/>
        <w:ind w:right="900" w:firstLine="5400" w:firstLineChars="18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年  月  日</w:t>
      </w:r>
    </w:p>
    <w:p>
      <w:pPr>
        <w:widowControl/>
        <w:spacing w:line="384" w:lineRule="auto"/>
        <w:jc w:val="right"/>
        <w:rPr>
          <w:rFonts w:ascii="Times New Roman" w:hAnsi="Times New Roman" w:eastAsia="仿宋_GB2312" w:cs="Times New Roman"/>
          <w:kern w:val="0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  <w:highlight w:val="none"/>
          <w:lang w:eastAsia="zh-CN"/>
        </w:rPr>
        <w:t>企业联系人及联系电话</w:t>
      </w:r>
    </w:p>
    <w:p>
      <w:pPr>
        <w:widowControl/>
        <w:spacing w:line="384" w:lineRule="auto"/>
        <w:ind w:right="900" w:firstLine="5400" w:firstLineChars="1800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15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28C981"/>
    <w:multiLevelType w:val="singleLevel"/>
    <w:tmpl w:val="6628C981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F3A4DBA"/>
    <w:rsid w:val="27000908"/>
    <w:rsid w:val="4BE323D0"/>
    <w:rsid w:val="78DF71CF"/>
    <w:rsid w:val="7D871A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0"/>
        <o:r id="V:Rule4" type="connector" idref="#_x0000_s1031"/>
        <o:r id="V:Rule5" type="connector" idref="#_x0000_s1035"/>
        <o:r id="V:Rule6" type="connector" idref="#_x0000_s1036"/>
        <o:r id="V:Rule7" type="connector" idref="#_x0000_s1038"/>
        <o:r id="V:Rule8" type="connector" idref="#_x0000_s1039"/>
        <o:r id="V:Rule9" type="connector" idref="#_x0000_s1042"/>
        <o:r id="V:Rule10" type="connector" idref="#_x0000_s104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10">
    <w:name w:val="页眉 Char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 Char"/>
    <w:basedOn w:val="6"/>
    <w:link w:val="2"/>
    <w:qFormat/>
    <w:uiPriority w:val="99"/>
    <w:rPr>
      <w:sz w:val="18"/>
      <w:szCs w:val="18"/>
    </w:rPr>
  </w:style>
  <w:style w:type="character" w:customStyle="1" w:styleId="13">
    <w:name w:val="mini-output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875</Words>
  <Characters>4994</Characters>
  <Lines>41</Lines>
  <Paragraphs>11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2020-04-22T08:12:00Z</dcterms:created>
  <dc:creator>吴</dc:creator>
  <cp:lastModifiedBy>李志军</cp:lastModifiedBy>
  <cp:lastPrinted>2020-05-08T08:38:00Z</cp:lastPrinted>
  <dcterms:modified xsi:type="dcterms:W3CDTF">2023-09-06T02:42:35Z</dcterms:modified>
  <dc:title>进口付汇事前审核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C44D457DD3FE42169635F03CEF71B46A</vt:lpwstr>
  </property>
</Properties>
</file>