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附1</w:t>
      </w:r>
    </w:p>
    <w:p>
      <w:pPr>
        <w:spacing w:line="560" w:lineRule="exact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跨境贸易便利化业务操作指引</w:t>
      </w:r>
    </w:p>
    <w:p>
      <w:pPr>
        <w:spacing w:beforeLines="100" w:line="560" w:lineRule="exact"/>
        <w:jc w:val="center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第一章</w:t>
      </w:r>
      <w:r>
        <w:rPr>
          <w:rFonts w:ascii="Times New Roman" w:hAnsi="黑体" w:eastAsia="黑体" w:cs="Times New Roman"/>
          <w:sz w:val="32"/>
          <w:szCs w:val="32"/>
        </w:rPr>
        <w:tab/>
      </w:r>
      <w:r>
        <w:rPr>
          <w:rFonts w:ascii="Times New Roman" w:hAnsi="黑体" w:eastAsia="黑体" w:cs="Times New Roman"/>
          <w:sz w:val="32"/>
          <w:szCs w:val="32"/>
        </w:rPr>
        <w:t xml:space="preserve"> 总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则</w:t>
      </w:r>
    </w:p>
    <w:p>
      <w:pPr>
        <w:spacing w:beforeLines="100" w:line="560" w:lineRule="exact"/>
        <w:ind w:firstLine="67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为深入贯彻新发展理念、加快构建新发展格局，支持洋浦经济开发区</w:t>
      </w:r>
      <w:r>
        <w:rPr>
          <w:rFonts w:hint="eastAsia" w:eastAsia="仿宋_GB2312" w:cs="仿宋_GB2312"/>
          <w:sz w:val="32"/>
          <w:szCs w:val="32"/>
        </w:rPr>
        <w:t>（以下简称试点区域）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建设，进一步提升外汇管理服务实体经济的能力，根据《中华人民共和国外汇管理条例》等相关规定，制定本指引。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 xml:space="preserve">第二条 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</w:t>
      </w:r>
      <w:r>
        <w:rPr>
          <w:rFonts w:ascii="Times New Roman" w:hAnsi="Times New Roman" w:eastAsia="仿宋_GB2312" w:cs="Times New Roman"/>
          <w:sz w:val="32"/>
          <w:szCs w:val="32"/>
        </w:rPr>
        <w:t>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注册的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（以下简称试点区域企业），以及</w:t>
      </w:r>
      <w:r>
        <w:rPr>
          <w:rFonts w:hint="eastAsia" w:eastAsia="仿宋_GB2312" w:cs="仿宋_GB2312"/>
          <w:sz w:val="32"/>
          <w:szCs w:val="32"/>
        </w:rPr>
        <w:t>符合条件</w:t>
      </w:r>
      <w:r>
        <w:rPr>
          <w:rFonts w:hint="eastAsia" w:eastAsia="仿宋_GB2312" w:cs="仿宋_GB2312"/>
          <w:bCs/>
          <w:sz w:val="32"/>
          <w:szCs w:val="32"/>
        </w:rPr>
        <w:t>的银行（以下简称试点银行），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适用本</w:t>
      </w:r>
      <w:r>
        <w:rPr>
          <w:rFonts w:hint="eastAsia" w:ascii="仿宋_GB2312" w:hAnsi="仿宋_GB2312" w:eastAsia="仿宋_GB2312" w:cs="仿宋_GB2312"/>
          <w:sz w:val="32"/>
          <w:szCs w:val="32"/>
        </w:rPr>
        <w:t>指引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规定的跨境贸易</w:t>
      </w:r>
      <w:r>
        <w:rPr>
          <w:rFonts w:ascii="Times New Roman" w:hAnsi="Times New Roman" w:eastAsia="仿宋_GB2312" w:cs="Times New Roman"/>
          <w:sz w:val="32"/>
          <w:szCs w:val="32"/>
        </w:rPr>
        <w:t>便利化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措施</w:t>
      </w:r>
      <w:r>
        <w:rPr>
          <w:rFonts w:ascii="Times New Roman" w:hAnsi="Times New Roman" w:eastAsia="仿宋_GB2312" w:cs="Times New Roman"/>
          <w:sz w:val="32"/>
          <w:szCs w:val="32"/>
        </w:rPr>
        <w:t>（以下简称试点业务）。</w:t>
      </w:r>
    </w:p>
    <w:p>
      <w:pPr>
        <w:spacing w:line="560" w:lineRule="exact"/>
        <w:ind w:firstLine="67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eastAsia="仿宋_GB2312" w:cs="仿宋_GB2312"/>
          <w:sz w:val="32"/>
          <w:szCs w:val="32"/>
        </w:rPr>
        <w:t>经常项目外汇收支，应具有真实合法的交易基础。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试点银行</w:t>
      </w:r>
      <w:r>
        <w:rPr>
          <w:rFonts w:hint="eastAsia" w:eastAsia="仿宋_GB2312" w:cs="仿宋_GB2312"/>
          <w:sz w:val="32"/>
          <w:szCs w:val="32"/>
        </w:rPr>
        <w:t>按照</w:t>
      </w:r>
      <w:bookmarkStart w:id="1" w:name="_GoBack"/>
      <w:r>
        <w:rPr>
          <w:rFonts w:ascii="Times New Roman" w:hAnsi="Times New Roman" w:eastAsia="仿宋_GB2312" w:cs="Times New Roman"/>
          <w:sz w:val="32"/>
          <w:szCs w:val="32"/>
        </w:rPr>
        <w:t>了解客户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了解业务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尽职审查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展业</w:t>
      </w:r>
      <w:r>
        <w:rPr>
          <w:rFonts w:ascii="Times New Roman" w:hAnsi="Times New Roman" w:eastAsia="仿宋_GB2312" w:cs="Times New Roman"/>
          <w:sz w:val="32"/>
          <w:szCs w:val="32"/>
        </w:rPr>
        <w:t>原则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为试点区域企业办理经常项目外汇收支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履行反洗钱、反恐怖融资和反逃税义务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确认收支的真实性、合理性和逻辑性。</w:t>
      </w:r>
    </w:p>
    <w:p>
      <w:pPr>
        <w:spacing w:line="560" w:lineRule="exact"/>
        <w:ind w:firstLine="67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 xml:space="preserve">第四条 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国家外汇管理局海南省分局（以下简称海南省分局）</w:t>
      </w:r>
      <w:r>
        <w:rPr>
          <w:rFonts w:eastAsia="仿宋_GB2312" w:cs="仿宋_GB2312"/>
          <w:sz w:val="32"/>
          <w:szCs w:val="32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对试点业务进行监督管理。</w:t>
      </w:r>
    </w:p>
    <w:p>
      <w:pPr>
        <w:spacing w:line="560" w:lineRule="exact"/>
        <w:ind w:firstLine="670" w:firstLineChars="200"/>
        <w:rPr>
          <w:rFonts w:eastAsia="仿宋_GB2312" w:cs="仿宋_GB2312"/>
          <w:sz w:val="32"/>
          <w:szCs w:val="32"/>
        </w:rPr>
      </w:pPr>
    </w:p>
    <w:p>
      <w:pPr>
        <w:spacing w:beforeLines="100" w:afterLines="100"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第</w:t>
      </w:r>
      <w:r>
        <w:rPr>
          <w:rFonts w:hint="eastAsia" w:ascii="Times New Roman" w:hAnsi="黑体" w:eastAsia="黑体" w:cs="Times New Roman"/>
          <w:sz w:val="32"/>
          <w:szCs w:val="32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章</w:t>
      </w: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黑体" w:eastAsia="黑体" w:cs="Times New Roman"/>
          <w:sz w:val="32"/>
          <w:szCs w:val="32"/>
        </w:rPr>
        <w:t>试点业务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 xml:space="preserve">第五条 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试点银行可根据客户指令为试点区域内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注册的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经营规范、信誉良好的优质企业（以下简称优质企业）办理经常项目外汇收支。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点银行自行确定本行优质企业的标准，对于优质企业单笔等值5万美元以上的服务贸易、初次收入以及二次收入外汇支出，试点银行可事后审核《服务贸易等项目对外支付税务备案表》。对于资金性质不明确的业务，试点银行可要求优质企业提供相关单证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试点银行可依据试点区域战略定位和行业特色，创新金融服务，自主办理试点区域企业真实合规的新型国际贸易外汇收支。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试点区域企业与境外交易对手开展经常项目外汇业务时，试点银行可为试点区域企业办理轧差净额结算，并按国际收支申报有关规定进行实际收付数据和还原数据申报。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试点银行可直接为试点区域企业办理退汇日期与原收、付款日期间隔在180天（不含）以上或由于特殊情况无法原路退回的货物贸易退汇业务，试点区域企业无须事前在外汇局登记。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九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bookmarkStart w:id="0" w:name="OLE_LINK1"/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试点银行为试点区域企业办理第六、七、八条试点业务时，可自主决定审核交易单证种类。</w:t>
      </w:r>
      <w:bookmarkEnd w:id="0"/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试点银行为优质企业办理第六、七、八条试点业务时，可</w:t>
      </w:r>
      <w:r>
        <w:rPr>
          <w:rFonts w:ascii="Times New Roman" w:hAnsi="Times New Roman" w:eastAsia="仿宋_GB2312" w:cs="Times New Roman"/>
          <w:sz w:val="32"/>
          <w:szCs w:val="32"/>
        </w:rPr>
        <w:t>参照第五条业务办理流程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银行凭交易电子信息办理</w:t>
      </w:r>
      <w:r>
        <w:rPr>
          <w:rFonts w:ascii="Times New Roman" w:hAnsi="Times New Roman" w:eastAsia="仿宋_GB2312" w:cs="Times New Roman"/>
          <w:sz w:val="32"/>
          <w:szCs w:val="32"/>
        </w:rPr>
        <w:t>经常项目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外汇收支业务时，</w:t>
      </w:r>
      <w:r>
        <w:rPr>
          <w:rFonts w:ascii="Times New Roman" w:hAnsi="Times New Roman" w:eastAsia="仿宋_GB2312" w:cs="Times New Roman"/>
          <w:sz w:val="32"/>
          <w:szCs w:val="32"/>
        </w:rPr>
        <w:t>应符合《国家外汇管理局关于印发&lt;经常项目外汇业务指引（2020年版）&gt;的通知》（汇发〔2020〕14号）有关规定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试点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银行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在办理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试点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业务涉外收付款（含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实际收付款数据）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申报时，交易附言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注明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“区域便利试点”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字样。</w:t>
      </w:r>
    </w:p>
    <w:p>
      <w:pPr>
        <w:spacing w:beforeLines="100" w:afterLines="100"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第</w:t>
      </w: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章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业务</w:t>
      </w:r>
      <w:r>
        <w:rPr>
          <w:rFonts w:hint="eastAsia" w:ascii="Times New Roman" w:hAnsi="黑体" w:eastAsia="黑体" w:cs="Times New Roman"/>
          <w:sz w:val="32"/>
          <w:szCs w:val="32"/>
        </w:rPr>
        <w:t>管理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十一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银行开展试点业务，应同时具备以下条件：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海南自由贸易港辖内</w:t>
      </w:r>
      <w:r>
        <w:rPr>
          <w:rFonts w:ascii="Times New Roman" w:hAnsi="Times New Roman" w:eastAsia="仿宋_GB2312" w:cs="Times New Roman"/>
          <w:sz w:val="32"/>
          <w:szCs w:val="32"/>
        </w:rPr>
        <w:t>注册经营的银行一级分行或地方性银行总行。</w:t>
      </w:r>
    </w:p>
    <w:p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具备完善的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试点业务</w:t>
      </w:r>
      <w:r>
        <w:rPr>
          <w:rFonts w:ascii="Times New Roman" w:hAnsi="Times New Roman" w:eastAsia="仿宋_GB2312" w:cs="Times New Roman"/>
          <w:sz w:val="32"/>
          <w:szCs w:val="32"/>
        </w:rPr>
        <w:t>内控制度，包括但不限于职责分工、业务授权、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试点区域企业</w:t>
      </w:r>
      <w:r>
        <w:rPr>
          <w:rFonts w:ascii="Times New Roman" w:hAnsi="Times New Roman" w:eastAsia="仿宋_GB2312" w:cs="Times New Roman"/>
          <w:sz w:val="32"/>
          <w:szCs w:val="32"/>
        </w:rPr>
        <w:t>客户准入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退出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试点业务实施规范、</w:t>
      </w:r>
      <w:r>
        <w:rPr>
          <w:rFonts w:ascii="Times New Roman" w:hAnsi="Times New Roman" w:eastAsia="仿宋_GB2312" w:cs="Times New Roman"/>
          <w:sz w:val="32"/>
          <w:szCs w:val="32"/>
        </w:rPr>
        <w:t>风险业务清单、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统计监测、可疑交易</w:t>
      </w:r>
      <w:r>
        <w:rPr>
          <w:rFonts w:ascii="Times New Roman" w:hAnsi="Times New Roman" w:eastAsia="仿宋_GB2312" w:cs="Times New Roman"/>
          <w:sz w:val="32"/>
          <w:szCs w:val="32"/>
        </w:rPr>
        <w:t>预警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与报告</w:t>
      </w:r>
      <w:r>
        <w:rPr>
          <w:rFonts w:ascii="Times New Roman" w:hAnsi="Times New Roman" w:eastAsia="仿宋_GB2312" w:cs="Times New Roman"/>
          <w:sz w:val="32"/>
          <w:szCs w:val="32"/>
        </w:rPr>
        <w:t>、应急管理、内部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监督</w:t>
      </w:r>
      <w:r>
        <w:rPr>
          <w:rFonts w:ascii="Times New Roman" w:hAnsi="Times New Roman" w:eastAsia="仿宋_GB2312" w:cs="Times New Roman"/>
          <w:sz w:val="32"/>
          <w:szCs w:val="32"/>
        </w:rPr>
        <w:t>等方面。</w:t>
      </w:r>
    </w:p>
    <w:p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配备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外汇业务合规专职岗位和</w:t>
      </w:r>
      <w:r>
        <w:rPr>
          <w:rFonts w:ascii="Times New Roman" w:hAnsi="Times New Roman" w:eastAsia="仿宋_GB2312" w:cs="Times New Roman"/>
          <w:sz w:val="32"/>
          <w:szCs w:val="32"/>
        </w:rPr>
        <w:t>熟悉外汇业务政策的从业人员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外汇业务合规记录良好，且近三年银行外汇业务合规与审慎经营评估原则上均在B（含）以上且至少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两年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为B+（含）以上。银行成立不满三年的，自成立以来</w:t>
      </w:r>
      <w:r>
        <w:rPr>
          <w:rFonts w:ascii="Times New Roman" w:hAnsi="Times New Roman" w:eastAsia="仿宋_GB2312" w:cs="Times New Roman"/>
          <w:sz w:val="32"/>
          <w:szCs w:val="32"/>
        </w:rPr>
        <w:t>外汇业务合规与审慎经营评估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原则上</w:t>
      </w:r>
      <w:r>
        <w:rPr>
          <w:rFonts w:ascii="Times New Roman" w:hAnsi="Times New Roman" w:eastAsia="仿宋_GB2312" w:cs="Times New Roman"/>
          <w:sz w:val="32"/>
          <w:szCs w:val="32"/>
        </w:rPr>
        <w:t>均在B+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（含）以上。</w:t>
      </w:r>
    </w:p>
    <w:p>
      <w:pPr>
        <w:spacing w:line="560" w:lineRule="exact"/>
        <w:ind w:firstLine="67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符合条件的银行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应在办理试点业务前，向海南省分局报备试点准备情况，包括但不限于试点资格自评情况、内控制度、优质企业名单等。</w:t>
      </w:r>
      <w:r>
        <w:rPr>
          <w:rFonts w:ascii="Times New Roman" w:hAnsi="Times New Roman" w:eastAsia="仿宋_GB2312" w:cs="Times New Roman"/>
          <w:sz w:val="32"/>
          <w:szCs w:val="32"/>
        </w:rPr>
        <w:t>自收到完整备案材料之日起20个工作日内，对于符合条件的银行，以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海南省</w:t>
      </w:r>
      <w:r>
        <w:rPr>
          <w:rFonts w:ascii="Times New Roman" w:hAnsi="Times New Roman" w:eastAsia="仿宋_GB2312" w:cs="Times New Roman"/>
          <w:sz w:val="32"/>
          <w:szCs w:val="32"/>
        </w:rPr>
        <w:t>分局名义出具书面备案文件，银行方可开展试点业务。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试点银行变更优质企业的，自变更之日起5</w:t>
      </w:r>
      <w:r>
        <w:rPr>
          <w:rFonts w:ascii="Times New Roman" w:hAnsi="Times New Roman" w:eastAsia="仿宋_GB2312" w:cs="Times New Roman"/>
          <w:sz w:val="32"/>
          <w:szCs w:val="32"/>
        </w:rPr>
        <w:t>个工作日内向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海南省分局报告。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试点银行办理上述试点业务，应完善内部控制，优化全流程管理：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尽职调查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。了解试点区域企业主体信息、经营状况、内控管理等，分析判断试点区域企业的信用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等情况，对试点区域企业实施内部</w:t>
      </w:r>
      <w:r>
        <w:rPr>
          <w:rFonts w:ascii="Times New Roman" w:hAnsi="Times New Roman" w:eastAsia="仿宋_GB2312" w:cs="Times New Roman"/>
          <w:sz w:val="32"/>
          <w:szCs w:val="32"/>
        </w:rPr>
        <w:t>信用分级管理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（二）审慎展业。跟踪市场环境变化，了解不同业务特征和流程，结合试点区域企业信用状况，持续优化审核方式。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（三）监测核查。试</w:t>
      </w:r>
      <w:r>
        <w:rPr>
          <w:rFonts w:ascii="Times New Roman" w:hAnsi="Times New Roman" w:eastAsia="仿宋_GB2312" w:cs="Times New Roman"/>
          <w:sz w:val="32"/>
          <w:szCs w:val="32"/>
        </w:rPr>
        <w:t>点银行对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试点区域企业经常项目</w:t>
      </w:r>
      <w:r>
        <w:rPr>
          <w:rFonts w:ascii="Times New Roman" w:hAnsi="Times New Roman" w:eastAsia="仿宋_GB2312" w:cs="Times New Roman"/>
          <w:sz w:val="32"/>
          <w:szCs w:val="32"/>
        </w:rPr>
        <w:t>收支持续跟踪评估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，动态调整企业信用状况；</w:t>
      </w:r>
      <w:r>
        <w:rPr>
          <w:rFonts w:ascii="Times New Roman" w:hAnsi="Times New Roman" w:eastAsia="仿宋_GB2312" w:cs="Times New Roman"/>
          <w:sz w:val="32"/>
          <w:szCs w:val="32"/>
        </w:rPr>
        <w:t>对试点业务建立专门监测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预警体系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及时发现、报告和处置</w:t>
      </w:r>
      <w:r>
        <w:rPr>
          <w:rFonts w:ascii="Times New Roman" w:hAnsi="Times New Roman" w:eastAsia="仿宋_GB2312" w:cs="Times New Roman"/>
          <w:sz w:val="32"/>
          <w:szCs w:val="32"/>
        </w:rPr>
        <w:t>异常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第十四条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出现以下情形之一的，试点银行应暂停试点业务：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（一）试点银行未尽职审核，主动开展或协助企业开展监管套利、空转套利、虚假交易、构造贸易等异常交易，或为企业开展上述异常交易转移资金或骗取融资提供便利。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（二）试点银行的经营行为对海南自由贸易港跨境资金流动、金融稳定造成负面影响。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（三）试点银行外汇业务合规与审慎经营评估为B-及以下。</w:t>
      </w:r>
    </w:p>
    <w:p>
      <w:pPr>
        <w:spacing w:line="560" w:lineRule="exact"/>
        <w:ind w:firstLine="67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（四）试点银行不配合外汇局监督管理工作。</w:t>
      </w:r>
    </w:p>
    <w:p>
      <w:pPr>
        <w:spacing w:line="560" w:lineRule="exact"/>
        <w:ind w:firstLine="67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试点银行暂停试点业务的，应立即进行整改，整改完成并向海南省分局报备后，方可继续开展试点业务。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出现以下</w:t>
      </w:r>
      <w:r>
        <w:rPr>
          <w:rFonts w:ascii="Times New Roman" w:hAnsi="Times New Roman" w:eastAsia="仿宋_GB2312" w:cs="Times New Roman"/>
          <w:sz w:val="32"/>
          <w:szCs w:val="32"/>
        </w:rPr>
        <w:t>情形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之一的，</w:t>
      </w:r>
      <w:r>
        <w:rPr>
          <w:rFonts w:ascii="Times New Roman" w:hAnsi="Times New Roman" w:eastAsia="仿宋_GB2312" w:cs="Times New Roman"/>
          <w:sz w:val="32"/>
          <w:szCs w:val="32"/>
        </w:rPr>
        <w:t>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区域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不适用本</w:t>
      </w:r>
      <w:r>
        <w:rPr>
          <w:rFonts w:hint="eastAsia" w:ascii="仿宋_GB2312" w:hAnsi="仿宋_GB2312" w:eastAsia="仿宋_GB2312" w:cs="仿宋_GB2312"/>
          <w:sz w:val="32"/>
          <w:szCs w:val="32"/>
        </w:rPr>
        <w:t>指引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规定的试点业务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</w:t>
      </w:r>
      <w:r>
        <w:rPr>
          <w:rFonts w:ascii="Times New Roman" w:hAnsi="Times New Roman" w:eastAsia="仿宋_GB2312" w:cs="Times New Roman"/>
          <w:sz w:val="32"/>
          <w:szCs w:val="32"/>
        </w:rPr>
        <w:t>企业被外汇局降为B/C类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或受到外汇局处罚且情节严重的。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</w:t>
      </w:r>
      <w:r>
        <w:rPr>
          <w:rFonts w:ascii="Times New Roman" w:hAnsi="Times New Roman" w:eastAsia="仿宋_GB2312" w:cs="Times New Roman"/>
          <w:sz w:val="32"/>
          <w:szCs w:val="32"/>
        </w:rPr>
        <w:t>企业存在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涉嫌</w:t>
      </w:r>
      <w:r>
        <w:rPr>
          <w:rFonts w:ascii="Times New Roman" w:hAnsi="Times New Roman" w:eastAsia="仿宋_GB2312" w:cs="Times New Roman"/>
          <w:sz w:val="32"/>
          <w:szCs w:val="32"/>
        </w:rPr>
        <w:t>构造贸易、虚假贸易等异常情况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且无合理解释</w:t>
      </w:r>
      <w:r>
        <w:rPr>
          <w:rFonts w:ascii="Times New Roman" w:hAnsi="Times New Roman" w:eastAsia="仿宋_GB2312" w:cs="Times New Roman"/>
          <w:sz w:val="32"/>
          <w:szCs w:val="32"/>
        </w:rPr>
        <w:t>的。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试点区域</w:t>
      </w:r>
      <w:r>
        <w:rPr>
          <w:rFonts w:ascii="Times New Roman" w:hAnsi="Times New Roman" w:eastAsia="仿宋_GB2312" w:cs="Times New Roman"/>
          <w:sz w:val="32"/>
          <w:szCs w:val="32"/>
        </w:rPr>
        <w:t>企业不配合外汇局、试点银行监督管理的。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第十六条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试点银行、试点区域企业应按现行外汇管理规定，及时、准确、完整地向海南省分局报送相关信息；主动报告异常或可疑情况，配合监督检查和核查。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100" w:afterLines="100"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第</w:t>
      </w:r>
      <w:r>
        <w:rPr>
          <w:rFonts w:hint="eastAsia" w:ascii="Times New Roman" w:hAnsi="黑体" w:eastAsia="黑体" w:cs="Times New Roman"/>
          <w:sz w:val="32"/>
          <w:szCs w:val="32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章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附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则</w:t>
      </w:r>
    </w:p>
    <w:p>
      <w:pPr>
        <w:spacing w:line="560" w:lineRule="exact"/>
        <w:ind w:firstLine="670" w:firstLineChars="200"/>
        <w:rPr>
          <w:rFonts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七条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注册在试点区域内的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国家机关、事业单位、社会团体等</w:t>
      </w:r>
      <w:r>
        <w:rPr>
          <w:rFonts w:hint="eastAsia" w:eastAsia="仿宋_GB2312" w:cs="仿宋_GB2312"/>
          <w:sz w:val="32"/>
          <w:szCs w:val="32"/>
        </w:rPr>
        <w:t>适用本</w:t>
      </w:r>
      <w:r>
        <w:rPr>
          <w:rFonts w:hint="eastAsia" w:ascii="仿宋_GB2312" w:hAnsi="仿宋_GB2312" w:eastAsia="仿宋_GB2312" w:cs="仿宋_GB2312"/>
          <w:sz w:val="32"/>
          <w:szCs w:val="32"/>
        </w:rPr>
        <w:t>指引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第十八条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指引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的“新型国际贸易”包括但不限于跨境电商、保税维修、</w:t>
      </w:r>
      <w:r>
        <w:rPr>
          <w:rFonts w:ascii="Times New Roman" w:hAnsi="Times New Roman" w:eastAsia="仿宋_GB2312" w:cs="Times New Roman"/>
          <w:sz w:val="32"/>
          <w:szCs w:val="32"/>
        </w:rPr>
        <w:t>新型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离岸</w:t>
      </w:r>
      <w:r>
        <w:rPr>
          <w:rFonts w:ascii="Times New Roman" w:hAnsi="Times New Roman" w:eastAsia="仿宋_GB2312" w:cs="Times New Roman"/>
          <w:sz w:val="32"/>
          <w:szCs w:val="32"/>
        </w:rPr>
        <w:t>国际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贸易等</w:t>
      </w:r>
      <w:r>
        <w:rPr>
          <w:rFonts w:ascii="Times New Roman" w:hAnsi="Times New Roman" w:eastAsia="仿宋_GB2312" w:cs="Times New Roman"/>
          <w:sz w:val="32"/>
          <w:szCs w:val="32"/>
        </w:rPr>
        <w:t>货物贸易和服务贸易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本指引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的“经常项目轧差净额结算”是指试点区域企业与境外交易对手之间的经常项目应收应付资金，合并为单笔交易的操作方式。境外交易对手包括单一企业、境外资金集中管理机构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第十九条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指引</w:t>
      </w:r>
      <w:r>
        <w:rPr>
          <w:rFonts w:ascii="Times New Roman" w:hAnsi="Times New Roman" w:eastAsia="仿宋_GB2312" w:cs="Times New Roman"/>
          <w:sz w:val="32"/>
          <w:szCs w:val="32"/>
        </w:rPr>
        <w:t>自发布之日起实施，由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海南省分局</w:t>
      </w:r>
      <w:r>
        <w:rPr>
          <w:rFonts w:ascii="Times New Roman" w:hAnsi="Times New Roman" w:eastAsia="仿宋_GB2312" w:cs="Times New Roman"/>
          <w:sz w:val="32"/>
          <w:szCs w:val="32"/>
        </w:rPr>
        <w:t>负责解释。</w:t>
      </w:r>
    </w:p>
    <w:sectPr>
      <w:footerReference r:id="rId3" w:type="default"/>
      <w:footerReference r:id="rId4" w:type="even"/>
      <w:pgSz w:w="11906" w:h="16838"/>
      <w:pgMar w:top="1588" w:right="1440" w:bottom="1588" w:left="1440" w:header="1191" w:footer="1418" w:gutter="0"/>
      <w:cols w:space="720" w:num="1"/>
      <w:docGrid w:type="linesAndChars" w:linePitch="515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Calibri Light">
    <w:altName w:val="Latha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ejaVu Sans">
    <w:altName w:val="Shruti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文泉驿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atha">
    <w:panose1 w:val="02000400000000000000"/>
    <w:charset w:val="00"/>
    <w:family w:val="decorative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083" w:h="301" w:hRule="exact" w:wrap="around" w:vAnchor="text" w:hAnchor="page" w:x="1844" w:y="-29"/>
      <w:rPr>
        <w:rStyle w:val="7"/>
        <w:sz w:val="24"/>
      </w:rPr>
    </w:pPr>
    <w:r>
      <w:rPr>
        <w:rStyle w:val="7"/>
        <w:rFonts w:hint="eastAsia" w:ascii="仿宋_GB2312"/>
        <w:sz w:val="24"/>
      </w:rPr>
      <w:t xml:space="preserve"> —</w:t>
    </w:r>
    <w:r>
      <w:rPr>
        <w:rFonts w:ascii="宋体"/>
        <w:sz w:val="24"/>
      </w:rPr>
      <w:fldChar w:fldCharType="begin"/>
    </w:r>
    <w:r>
      <w:rPr>
        <w:rStyle w:val="7"/>
        <w:rFonts w:ascii="宋体"/>
        <w:sz w:val="24"/>
      </w:rPr>
      <w:instrText xml:space="preserve">PAGE  </w:instrText>
    </w:r>
    <w:r>
      <w:rPr>
        <w:rFonts w:ascii="宋体"/>
        <w:sz w:val="24"/>
      </w:rPr>
      <w:fldChar w:fldCharType="separate"/>
    </w:r>
    <w:r>
      <w:rPr>
        <w:rStyle w:val="7"/>
        <w:rFonts w:ascii="宋体"/>
        <w:sz w:val="24"/>
      </w:rPr>
      <w:t>10</w:t>
    </w:r>
    <w:r>
      <w:rPr>
        <w:rFonts w:ascii="宋体"/>
        <w:sz w:val="24"/>
      </w:rPr>
      <w:fldChar w:fldCharType="end"/>
    </w:r>
    <w:r>
      <w:rPr>
        <w:rStyle w:val="7"/>
        <w:rFonts w:hint="eastAsia" w:ascii="仿宋_GB2312"/>
        <w:sz w:val="24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3"/>
  <w:drawingGridVerticalSpacing w:val="5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B"/>
    <w:rsid w:val="000D7775"/>
    <w:rsid w:val="000F105E"/>
    <w:rsid w:val="0010633C"/>
    <w:rsid w:val="00186DA1"/>
    <w:rsid w:val="00271BEF"/>
    <w:rsid w:val="003936FA"/>
    <w:rsid w:val="003D4B60"/>
    <w:rsid w:val="00441CC7"/>
    <w:rsid w:val="004D1FEA"/>
    <w:rsid w:val="005019F5"/>
    <w:rsid w:val="0053732B"/>
    <w:rsid w:val="00542EBA"/>
    <w:rsid w:val="00665DA4"/>
    <w:rsid w:val="00977015"/>
    <w:rsid w:val="00987050"/>
    <w:rsid w:val="00994278"/>
    <w:rsid w:val="00997544"/>
    <w:rsid w:val="009A1030"/>
    <w:rsid w:val="009F4A57"/>
    <w:rsid w:val="00A0235B"/>
    <w:rsid w:val="00A72BF1"/>
    <w:rsid w:val="00A734D1"/>
    <w:rsid w:val="00AE1E89"/>
    <w:rsid w:val="00B83105"/>
    <w:rsid w:val="00B94976"/>
    <w:rsid w:val="00BA3B7A"/>
    <w:rsid w:val="00C27263"/>
    <w:rsid w:val="00C429A6"/>
    <w:rsid w:val="00C64880"/>
    <w:rsid w:val="00D47421"/>
    <w:rsid w:val="00D90471"/>
    <w:rsid w:val="00DF3F2B"/>
    <w:rsid w:val="00E0160C"/>
    <w:rsid w:val="00E05D56"/>
    <w:rsid w:val="00EB4DD1"/>
    <w:rsid w:val="00F2437E"/>
    <w:rsid w:val="00F2627D"/>
    <w:rsid w:val="00FD569E"/>
    <w:rsid w:val="0F5057EE"/>
    <w:rsid w:val="177D4812"/>
    <w:rsid w:val="18B42F9F"/>
    <w:rsid w:val="1E140115"/>
    <w:rsid w:val="2C83209D"/>
    <w:rsid w:val="2E0C2776"/>
    <w:rsid w:val="30FE9BAB"/>
    <w:rsid w:val="33D7819E"/>
    <w:rsid w:val="5C4B4037"/>
    <w:rsid w:val="5FFD80BA"/>
    <w:rsid w:val="70513DFE"/>
    <w:rsid w:val="79F4F616"/>
    <w:rsid w:val="7A96ED45"/>
    <w:rsid w:val="7F160829"/>
    <w:rsid w:val="ABFF8A92"/>
    <w:rsid w:val="F677C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355</Words>
  <Characters>2024</Characters>
  <Lines>16</Lines>
  <Paragraphs>4</Paragraphs>
  <ScaleCrop>false</ScaleCrop>
  <LinksUpToDate>false</LinksUpToDate>
  <CharactersWithSpaces>2375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2021-11-28T00:28:00Z</dcterms:created>
  <dc:creator>经常司</dc:creator>
  <cp:lastModifiedBy>林巧珏/资本项目管理处/海口/PBC</cp:lastModifiedBy>
  <cp:lastPrinted>2021-12-06T09:20:00Z</cp:lastPrinted>
  <dcterms:modified xsi:type="dcterms:W3CDTF">2022-01-04T02:01:53Z</dcterms:modified>
  <dc:title>关于中国（××）自由贸易试验区××新区片区跨境贸易便利化试点实施细则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