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52"/>
          <w:szCs w:val="52"/>
        </w:rPr>
      </w:pPr>
    </w:p>
    <w:p>
      <w:pPr>
        <w:pStyle w:val="2"/>
        <w:ind w:firstLine="0" w:firstLineChars="0"/>
        <w:jc w:val="center"/>
        <w:rPr>
          <w:sz w:val="44"/>
          <w:szCs w:val="44"/>
        </w:rPr>
      </w:pPr>
    </w:p>
    <w:p>
      <w:pPr>
        <w:pStyle w:val="2"/>
        <w:ind w:firstLine="0" w:firstLineChars="0"/>
        <w:jc w:val="center"/>
        <w:rPr>
          <w:sz w:val="44"/>
          <w:szCs w:val="44"/>
        </w:rPr>
      </w:pPr>
    </w:p>
    <w:p>
      <w:pPr>
        <w:pStyle w:val="2"/>
        <w:ind w:firstLine="0" w:firstLineChars="0"/>
        <w:jc w:val="center"/>
        <w:rPr>
          <w:sz w:val="44"/>
          <w:szCs w:val="44"/>
        </w:rPr>
      </w:pPr>
    </w:p>
    <w:p>
      <w:pPr>
        <w:pStyle w:val="2"/>
        <w:ind w:firstLine="0" w:firstLineChars="0"/>
        <w:jc w:val="center"/>
        <w:rPr>
          <w:sz w:val="44"/>
          <w:szCs w:val="44"/>
        </w:rPr>
      </w:pPr>
    </w:p>
    <w:p>
      <w:pPr>
        <w:pStyle w:val="2"/>
        <w:ind w:firstLine="0" w:firstLineChars="0"/>
        <w:jc w:val="center"/>
        <w:rPr>
          <w:sz w:val="44"/>
          <w:szCs w:val="44"/>
        </w:rPr>
      </w:pPr>
    </w:p>
    <w:p>
      <w:pPr>
        <w:pStyle w:val="2"/>
        <w:ind w:firstLine="0" w:firstLineChars="0"/>
        <w:jc w:val="center"/>
        <w:rPr>
          <w:sz w:val="44"/>
          <w:szCs w:val="44"/>
        </w:rPr>
      </w:pPr>
    </w:p>
    <w:p>
      <w:pPr>
        <w:pStyle w:val="2"/>
        <w:ind w:firstLine="0" w:firstLineChars="0"/>
        <w:jc w:val="center"/>
        <w:rPr>
          <w:sz w:val="44"/>
          <w:szCs w:val="44"/>
        </w:rPr>
      </w:pPr>
    </w:p>
    <w:p>
      <w:pPr>
        <w:pStyle w:val="2"/>
        <w:ind w:firstLine="0" w:firstLineChars="0"/>
        <w:jc w:val="center"/>
        <w:rPr>
          <w:sz w:val="44"/>
          <w:szCs w:val="44"/>
        </w:rPr>
      </w:pPr>
      <w:bookmarkStart w:id="0" w:name="_Toc118729010"/>
      <w:r>
        <w:rPr>
          <w:sz w:val="44"/>
          <w:szCs w:val="44"/>
        </w:rPr>
        <w:t>“</w:t>
      </w:r>
      <w:r>
        <w:rPr>
          <w:rFonts w:hint="eastAsia"/>
          <w:sz w:val="44"/>
          <w:szCs w:val="44"/>
        </w:rPr>
        <w:t>特殊目的公司项下境内个人购付汇核准</w:t>
      </w:r>
      <w:r>
        <w:rPr>
          <w:sz w:val="44"/>
          <w:szCs w:val="44"/>
        </w:rPr>
        <w:t>”行政审批服务指南</w:t>
      </w:r>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585"/>
        <w:rPr>
          <w:rFonts w:ascii="Times New Roman" w:hAnsi="Times New Roman" w:eastAsia="黑体" w:cs="Times New Roman"/>
          <w:sz w:val="30"/>
          <w:szCs w:val="30"/>
        </w:rPr>
      </w:pPr>
      <w:bookmarkStart w:id="1" w:name="_Toc6150_WPSOffice_Level1"/>
      <w:r>
        <w:rPr>
          <w:rFonts w:ascii="Times New Roman" w:hAnsi="Times New Roman" w:eastAsia="黑体" w:cs="Times New Roman"/>
          <w:sz w:val="30"/>
          <w:szCs w:val="30"/>
        </w:rPr>
        <w:t>一、项目信息</w:t>
      </w:r>
      <w:bookmarkEnd w:id="1"/>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子项名称：特殊目的公司项下境内个人购付汇核准；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bookmarkStart w:id="2" w:name="_Toc19261_WPSOffice_Level1"/>
      <w:r>
        <w:rPr>
          <w:rFonts w:ascii="Times New Roman" w:hAnsi="Times New Roman" w:eastAsia="黑体" w:cs="Times New Roman"/>
          <w:sz w:val="30"/>
          <w:szCs w:val="30"/>
        </w:rPr>
        <w:t>二、适用范围</w:t>
      </w:r>
      <w:bookmarkEnd w:id="2"/>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特殊目的公司项下境内个人购付汇核准</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bookmarkStart w:id="3" w:name="_Toc1090_WPSOffice_Level1"/>
      <w:r>
        <w:rPr>
          <w:rFonts w:ascii="Times New Roman" w:hAnsi="Times New Roman" w:eastAsia="黑体" w:cs="Times New Roman"/>
          <w:sz w:val="30"/>
          <w:szCs w:val="30"/>
        </w:rPr>
        <w:t>三、设定依据</w:t>
      </w:r>
      <w:bookmarkEnd w:id="3"/>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bookmarkStart w:id="4" w:name="_Toc18405_WPSOffice_Level1"/>
      <w:r>
        <w:rPr>
          <w:rFonts w:ascii="Times New Roman" w:hAnsi="Times New Roman" w:eastAsia="黑体" w:cs="Times New Roman"/>
          <w:sz w:val="30"/>
          <w:szCs w:val="30"/>
        </w:rPr>
        <w:t>四、特殊目的公司项下境内个人购付汇核准</w:t>
      </w:r>
      <w:bookmarkEnd w:id="4"/>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hint="eastAsia" w:ascii="Times New Roman" w:hAnsi="Times New Roman" w:eastAsia="仿宋_GB2312"/>
          <w:color w:val="auto"/>
          <w:sz w:val="30"/>
          <w:lang w:eastAsia="zh-CN"/>
        </w:rPr>
        <w:t>原特殊目的公司登记地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或辖内</w:t>
      </w:r>
      <w:r>
        <w:rPr>
          <w:rFonts w:hint="eastAsia" w:ascii="Times New Roman" w:hAnsi="Times New Roman" w:eastAsia="仿宋_GB2312"/>
          <w:color w:val="auto"/>
          <w:sz w:val="30"/>
        </w:rPr>
        <w:t>中心支局（支局）</w:t>
      </w:r>
      <w:r>
        <w:rPr>
          <w:rFonts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hint="eastAsia" w:ascii="Times New Roman" w:hAnsi="Times New Roman" w:eastAsia="仿宋_GB2312"/>
          <w:color w:val="auto"/>
          <w:sz w:val="30"/>
          <w:lang w:eastAsia="zh-CN"/>
        </w:rPr>
        <w:t>原特殊目的公司登记地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或辖内</w:t>
      </w:r>
      <w:r>
        <w:rPr>
          <w:rFonts w:hint="eastAsia" w:ascii="Times New Roman" w:hAnsi="Times New Roman" w:eastAsia="仿宋_GB2312"/>
          <w:color w:val="auto"/>
          <w:sz w:val="30"/>
        </w:rPr>
        <w:t>中心支局（支局）</w:t>
      </w:r>
      <w:r>
        <w:rPr>
          <w:rFonts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w:t>
      </w:r>
      <w:bookmarkStart w:id="8" w:name="_GoBack"/>
      <w:bookmarkEnd w:id="8"/>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（十五）咨询途径、监督和投诉、公开查询等由国家外汇管理局安徽省分局及辖内中心支局</w:t>
      </w:r>
      <w:r>
        <w:rPr>
          <w:rFonts w:hint="eastAsia" w:ascii="Times New Roman" w:hAnsi="Times New Roman" w:eastAsia="黑体"/>
          <w:sz w:val="30"/>
          <w:szCs w:val="30"/>
        </w:rPr>
        <w:t>（支局）办理</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向国家外汇管理局安徽省分局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进行咨询、进程查询、监督和投诉等可通过国家外汇管理局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sz w:val="30"/>
          <w:szCs w:val="30"/>
        </w:rPr>
        <w:t>www.safe.gov.cn</w:t>
      </w:r>
      <w:r>
        <w:fldChar w:fldCharType="end"/>
      </w:r>
      <w:r>
        <w:rPr>
          <w:rFonts w:ascii="Times New Roman" w:hAnsi="Times New Roman" w:eastAsia="仿宋_GB2312"/>
          <w:sz w:val="30"/>
          <w:szCs w:val="30"/>
        </w:rPr>
        <w:t>进行链接，也可通过</w:t>
      </w:r>
      <w:r>
        <w:fldChar w:fldCharType="begin"/>
      </w:r>
      <w:r>
        <w:instrText xml:space="preserve">HYPERLINK "http://www.safe.gov.cn/anhui/" </w:instrText>
      </w:r>
      <w:r>
        <w:fldChar w:fldCharType="separate"/>
      </w:r>
      <w:r>
        <w:rPr>
          <w:rFonts w:ascii="Times New Roman" w:hAnsi="Times New Roman" w:eastAsia="仿宋_GB2312"/>
          <w:sz w:val="30"/>
          <w:szCs w:val="30"/>
        </w:rPr>
        <w:t>www.safe.gov.cn</w:t>
      </w:r>
      <w:r>
        <w:rPr>
          <w:rFonts w:hint="eastAsia" w:ascii="Times New Roman" w:hAnsi="Times New Roman" w:eastAsia="仿宋_GB2312"/>
          <w:sz w:val="30"/>
          <w:szCs w:val="30"/>
        </w:rPr>
        <w:t>/anhui/</w:t>
      </w:r>
      <w:r>
        <w:fldChar w:fldCharType="end"/>
      </w:r>
      <w:r>
        <w:rPr>
          <w:rFonts w:ascii="Times New Roman" w:hAnsi="Times New Roman" w:eastAsia="仿宋_GB2312"/>
          <w:sz w:val="30"/>
          <w:szCs w:val="30"/>
        </w:rPr>
        <w:t>进</w:t>
      </w:r>
      <w:r>
        <w:rPr>
          <w:rFonts w:ascii="Times New Roman" w:hAnsi="Times New Roman" w:eastAsia="仿宋_GB2312"/>
          <w:sz w:val="30"/>
        </w:rPr>
        <w:t>行访问</w:t>
      </w:r>
      <w:r>
        <w:rPr>
          <w:rFonts w:hint="eastAsia" w:ascii="Times New Roman" w:hAnsi="Times New Roman" w:eastAsia="仿宋_GB2312"/>
          <w:sz w:val="30"/>
        </w:rPr>
        <w:t>，安徽省分局咨询电话：0551-63691146</w:t>
      </w:r>
      <w:r>
        <w:rPr>
          <w:rFonts w:ascii="Times New Roman" w:hAnsi="Times New Roman" w:eastAsia="仿宋_GB2312"/>
          <w:sz w:val="30"/>
          <w:szCs w:val="30"/>
        </w:rPr>
        <w:t>。</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（十六）</w:t>
      </w:r>
      <w:r>
        <w:rPr>
          <w:rFonts w:ascii="Times New Roman" w:hAnsi="Times New Roman" w:eastAsia="黑体"/>
          <w:sz w:val="30"/>
          <w:szCs w:val="30"/>
        </w:rPr>
        <w:t>办公地址和时间</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该项行政许可具体由国家外汇管理局安徽省分局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办理</w:t>
      </w:r>
      <w:r>
        <w:rPr>
          <w:rFonts w:hint="eastAsia" w:ascii="Times New Roman" w:hAnsi="Times New Roman" w:eastAsia="仿宋_GB2312"/>
          <w:sz w:val="30"/>
          <w:szCs w:val="30"/>
        </w:rPr>
        <w:t>。</w:t>
      </w:r>
      <w:r>
        <w:rPr>
          <w:rFonts w:ascii="Times New Roman" w:hAnsi="Times New Roman" w:eastAsia="仿宋_GB2312"/>
          <w:sz w:val="30"/>
          <w:szCs w:val="30"/>
        </w:rPr>
        <w:t>安徽省分局办公地址</w:t>
      </w:r>
      <w:r>
        <w:rPr>
          <w:rFonts w:hint="eastAsia" w:ascii="Times New Roman" w:hAnsi="Times New Roman" w:eastAsia="仿宋_GB2312"/>
          <w:sz w:val="30"/>
          <w:szCs w:val="30"/>
        </w:rPr>
        <w:t>：合肥市滨湖新区洞庭湖路3366号，办公时间：工作日上午9:00-12:00，下午13:30-17:00。</w:t>
      </w:r>
    </w:p>
    <w:p>
      <w:pPr>
        <w:adjustRightInd w:val="0"/>
        <w:snapToGrid w:val="0"/>
        <w:spacing w:line="360" w:lineRule="auto"/>
        <w:ind w:firstLine="600"/>
        <w:rPr>
          <w:rFonts w:ascii="Times New Roman" w:hAnsi="Times New Roman" w:eastAsia="仿宋_GB2312" w:cs="Times New Roman"/>
          <w:sz w:val="30"/>
        </w:rPr>
      </w:pPr>
      <w:r>
        <w:rPr>
          <w:rFonts w:hint="eastAsia" w:ascii="Times New Roman" w:hAnsi="Times New Roman" w:eastAsia="仿宋_GB2312"/>
          <w:sz w:val="30"/>
          <w:szCs w:val="30"/>
        </w:rPr>
        <w:t>辖内中心支局（支局）办公地址和办公时间见</w:t>
      </w:r>
      <w:r>
        <w:rPr>
          <w:rFonts w:ascii="Times New Roman" w:hAnsi="Times New Roman" w:eastAsia="仿宋_GB2312"/>
          <w:sz w:val="30"/>
          <w:szCs w:val="30"/>
        </w:rPr>
        <w:t>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w:t>
      </w:r>
      <w:r>
        <w:rPr>
          <w:rFonts w:hint="eastAsia" w:ascii="Times New Roman" w:hAnsi="Times New Roman" w:eastAsia="仿宋_GB2312"/>
          <w:sz w:val="30"/>
          <w:szCs w:val="30"/>
        </w:rPr>
        <w:t>。</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0.65pt;margin-top:16.6pt;height:586.05pt;width:446.05pt;rotation:0f;z-index:251658240;" coordorigin="0,0" coordsize="8921,11721">
            <o:lock v:ext="edit" position="f" selection="f" grouping="f" rotation="f" cropping="f" text="f" aspectratio="f"/>
            <v:rect id="矩形 1027" o:spid="_x0000_s1028" style="position:absolute;left:2908;top:8319;height:534;width:2985;rotation:0f;"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t>审核</w:t>
                    </w:r>
                  </w:p>
                </w:txbxContent>
              </v:textbox>
            </v:rect>
            <v:shape id="流程图: 终止 1028" o:spid="_x0000_s1029" type="#_x0000_t116" style="position:absolute;left:4420;top:10681;height:1037;width:3675;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流程图: 终止 1029" o:spid="_x0000_s1030" type="#_x0000_t116" style="position:absolute;left:695;top:10663;height:1058;width:3461;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直接连接符 1030" o:spid="_x0000_s1031" type="#_x0000_t32" style="position:absolute;left:4382;top:7693;height:626;width: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31" o:spid="_x0000_s1032" type="#_x0000_t32" style="position:absolute;left:6331;top:9568;height:1095;width:17;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32" o:spid="_x0000_s1033" type="#_x0000_t32" style="position:absolute;left:2358;top:9568;height:1035;width: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33" o:spid="_x0000_s1034" type="#_x0000_t32" style="position:absolute;left:4383;top:8853;height:715;width:1;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shape id="直接连接符 1034" o:spid="_x0000_s1035" type="#_x0000_t32" style="position:absolute;left:2359;top:9568;height:0;width:3972;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直接连接符 1036" o:spid="_x0000_s1037" type="#_x0000_t32" style="position:absolute;left:5893;top:6566;height:608;width:0;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肘形连接符 1038" o:spid="_x0000_s1039" type="#_x0000_t34" style="position:absolute;left:6363;top:3151;height:1285;width:3823;rotation:17694720f;" o:ole="f" fillcolor="#FFFFFF" filled="t" o:preferrelative="t" stroked="t" coordorigin="0,0" coordsize="21600,21600" adj="33">
                  <v:stroke color="#000000" color2="#FFFFFF" opacity="100%" miterlimit="2"/>
                  <v:imagedata gain="65536f" blacklevel="0f" gamma="0"/>
                  <o:lock v:ext="edit" position="f" selection="f" grouping="f" rotation="f" cropping="f" text="f" aspectratio="f"/>
                </v:shape>
                <v:rect id="矩形 1039" o:spid="_x0000_s1040" style="position:absolute;left:7996;top:2297;height:2553;width:754;rotation:0f;"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v:shape id="直接连接符 1040" o:spid="_x0000_s1041" type="#_x0000_t32" style="position:absolute;left:5893;top:4472;height:378;width:0;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rect id="矩形 1041" o:spid="_x0000_s1042" style="position:absolute;left:2568;top:6566;height:477;width:2737;rotation:0f;"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rect>
                <v:shape id="菱形 1042" o:spid="_x0000_s1043" type="#_x0000_t4" style="position:absolute;left:4156;top:4833;height:1733;width:3480;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矩形 1043" o:spid="_x0000_s1044" style="position:absolute;left:2568;top:7174;height:519;width:4816;rotation:0f;"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矩形 1044" o:spid="_x0000_s1045" style="position:absolute;left:4566;top:3341;height:1114;width:3190;rotation:0f;"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流程图: 终止 1045" o:spid="_x0000_s1046" type="#_x0000_t116" style="position:absolute;left:4566;top:1337;height:1423;width:2818;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直接连接符 1047" o:spid="_x0000_s1048" type="#_x0000_t32" style="position:absolute;left:3663;top:3910;height:0;width:93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48" o:spid="_x0000_s1049" type="#_x0000_t32" style="position:absolute;left:1355;top:3986;height:3437;width:1;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直接连接符 1050" o:spid="_x0000_s1051" type="#_x0000_t32" style="position:absolute;left:1396;top:1172;height:764;width: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51" o:spid="_x0000_s1052" type="#_x0000_t32" style="position:absolute;left:2400;top:2967;height:0;width:1229;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shape id="菱形 1052" o:spid="_x0000_s1053" type="#_x0000_t4" style="position:absolute;left:0;top:1936;height:2050;width:2773;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流程图: 终止 1053" o:spid="_x0000_s1054" type="#_x0000_t116" style="position:absolute;left:184;top:0;height:1172;width:2724;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直接连接符 1054" o:spid="_x0000_s1055" type="#_x0000_t32" style="position:absolute;left:1355;top:7423;height:1;width:1213;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55" o:spid="_x0000_s1056" type="#_x0000_t32" style="position:absolute;left:3663;top:1999;height:1921;width:0;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shape id="直接连接符 1056" o:spid="_x0000_s1057" type="#_x0000_t32" style="position:absolute;left:3663;top:1989;height:1;width:903;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rect id="矩形 1057" o:spid="_x0000_s1058" style="position:absolute;left:597;top:5280;height:1152;width:508;rotation:0f;"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r>
                            <w:rPr>
                              <w:rFonts w:hint="eastAsia"/>
                            </w:rPr>
                            <w:t>是</w:t>
                          </w:r>
                        </w:p>
                      </w:txbxContent>
                    </v:textbox>
                  </v:rect>
                  <v:rect id="矩形 1058" o:spid="_x0000_s1059" style="position:absolute;left:2799;top:2220;height:471;width:508;rotation:0f;" o:ole="f" fillcolor="#FFFFFF" filled="t" o:preferrelative="t" stroked="t" coordsize="21600,21600">
                    <v:stroke color="#FFFFFF" color2="#FFFFFF" opacity="100%" miterlimit="2"/>
                    <v:imagedata gain="65536f" blacklevel="0f" gamma="0"/>
                    <o:lock v:ext="edit" position="f" selection="f" grouping="f" rotation="f" cropping="f" text="f" aspectratio="f"/>
                    <v:textbox style="mso-fit-shape-to-text:t;">
                      <w:txbxContent>
                        <w:p>
                          <w:r>
                            <w:rPr>
                              <w:rFonts w:hint="eastAsia"/>
                            </w:rPr>
                            <w:t>否</w:t>
                          </w:r>
                        </w:p>
                      </w:txbxContent>
                    </v:textbox>
                  </v:rect>
                </v:group>
                <v:shape id="直接连接符 1059" o:spid="_x0000_s1060" type="#_x0000_t32" style="position:absolute;left:7384;top:1886;flip:x;height:0;width:1537;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jc w:val="center"/>
        <w:rPr>
          <w:rFonts w:ascii="Times New Roman" w:hAnsi="Times New Roman"/>
          <w:sz w:val="28"/>
          <w:szCs w:val="28"/>
        </w:rPr>
      </w:pPr>
      <w:bookmarkStart w:id="5" w:name="_Toc41311932"/>
      <w:bookmarkStart w:id="6" w:name="_Toc39756175"/>
      <w:bookmarkStart w:id="7" w:name="_Toc492328600"/>
      <w:r>
        <w:rPr>
          <w:rFonts w:ascii="Times New Roman" w:hAnsi="Times New Roman"/>
          <w:sz w:val="28"/>
          <w:szCs w:val="28"/>
        </w:rPr>
        <w:t>境内居民个人境外投资外汇登记表</w:t>
      </w:r>
      <w:bookmarkEnd w:id="5"/>
      <w:bookmarkEnd w:id="6"/>
      <w:bookmarkEnd w:id="7"/>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5"/>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5"/>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Calibri" w:hAnsi="Calibri" w:eastAsia="宋体" w:cs="黑体"/>
        <w:kern w:val="2"/>
        <w:sz w:val="18"/>
        <w:szCs w:val="18"/>
        <w:lang w:val="en-US" w:eastAsia="zh-CN" w:bidi="ar-SA"/>
      </w:rPr>
      <w:pict>
        <v:rect id="文本框 3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168</w:t>
                </w:r>
                <w:r>
                  <w:rPr>
                    <w:rFonts w:hint="eastAsia"/>
                    <w:sz w:val="18"/>
                  </w:rPr>
                  <w:fldChar w:fldCharType="end"/>
                </w:r>
              </w:p>
            </w:txbxContent>
          </v:textbox>
        </v:rect>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character" w:default="1" w:styleId="4">
    <w:name w:val="Default Paragraph Font"/>
    <w:semiHidden/>
    <w:qFormat/>
    <w:uiPriority w:val="0"/>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textRotate="1"/>
    <customShpInfo spid="_x0000_s1032" textRotate="1"/>
    <customShpInfo spid="_x0000_s1033" textRotate="1"/>
    <customShpInfo spid="_x0000_s1034" textRotate="1"/>
    <customShpInfo spid="_x0000_s1035" textRotate="1"/>
    <customShpInfo spid="_x0000_s1037" textRotate="1"/>
    <customShpInfo spid="_x0000_s1039" textRotate="1"/>
    <customShpInfo spid="_x0000_s1041" textRotate="1"/>
    <customShpInfo spid="_x0000_s1048" textRotate="1"/>
    <customShpInfo spid="_x0000_s1049" textRotate="1"/>
    <customShpInfo spid="_x0000_s1051" textRotate="1"/>
    <customShpInfo spid="_x0000_s1052" textRotate="1"/>
    <customShpInfo spid="_x0000_s1055" textRotate="1"/>
    <customShpInfo spid="_x0000_s1056" textRotate="1"/>
    <customShpInfo spid="_x0000_s1057" textRotate="1"/>
    <customShpInfo spid="_x0000_s106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2023-08-17T09:58:00Z</dcterms:created>
  <dc:creator>悲伤还是快乐</dc:creator>
  <cp:lastModifiedBy>宗璇</cp:lastModifiedBy>
  <dcterms:modified xsi:type="dcterms:W3CDTF">2023-08-18T03:26:28Z</dcterms:modified>
  <dc:title>“特殊目的公司项下境内个人购付汇核准”行政审批服务指南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4845FE40921541DCB0E1D96B70963AED_11</vt:lpwstr>
  </property>
</Properties>
</file>