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黑体" w:cs="Times New Roman"/>
          <w:sz w:val="52"/>
          <w:szCs w:val="52"/>
        </w:rPr>
      </w:pPr>
    </w:p>
    <w:p>
      <w:pPr>
        <w:pStyle w:val="2"/>
        <w:ind w:firstLine="0" w:firstLineChars="0"/>
        <w:jc w:val="center"/>
        <w:rPr>
          <w:sz w:val="44"/>
          <w:szCs w:val="44"/>
        </w:rPr>
      </w:pPr>
      <w:bookmarkStart w:id="0" w:name="_Toc118729018"/>
      <w:r>
        <w:rPr>
          <w:sz w:val="44"/>
          <w:szCs w:val="44"/>
        </w:rPr>
        <w:t>“</w:t>
      </w:r>
      <w:r>
        <w:rPr>
          <w:rFonts w:hint="eastAsia"/>
          <w:sz w:val="44"/>
          <w:szCs w:val="44"/>
        </w:rPr>
        <w:t>非银行金融机构（不含保险公司）外汇业务备案管理</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adjustRightInd w:val="0"/>
        <w:spacing w:line="360" w:lineRule="auto"/>
        <w:ind w:firstLine="585"/>
        <w:jc w:val="left"/>
        <w:rPr>
          <w:rFonts w:ascii="Times New Roman" w:hAnsi="Times New Roman" w:eastAsia="黑体" w:cs="Times New Roman"/>
          <w:sz w:val="30"/>
          <w:szCs w:val="30"/>
        </w:rPr>
      </w:pPr>
      <w:bookmarkStart w:id="1" w:name="_Toc671_WPSOffice_Level1"/>
      <w:r>
        <w:rPr>
          <w:rFonts w:ascii="Times New Roman" w:hAnsi="Times New Roman" w:eastAsia="黑体" w:cs="Times New Roman"/>
          <w:sz w:val="30"/>
          <w:szCs w:val="30"/>
        </w:rPr>
        <w:t>一、项目信息</w:t>
      </w:r>
      <w:bookmarkEnd w:id="1"/>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子项名称：非银行金融机构（不含保险公司）外汇业务备案管理</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bookmarkStart w:id="2" w:name="_Toc14674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非银行金融机构（不含保险公司）外汇业务备案管理</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bookmarkStart w:id="3" w:name="_Toc23750_WPSOffice_Level1"/>
      <w:r>
        <w:rPr>
          <w:rFonts w:ascii="Times New Roman" w:hAnsi="Times New Roman" w:eastAsia="黑体" w:cs="Times New Roman"/>
          <w:sz w:val="30"/>
          <w:szCs w:val="30"/>
        </w:rPr>
        <w:t>三、设定依据</w:t>
      </w:r>
      <w:bookmarkEnd w:id="3"/>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bookmarkStart w:id="4" w:name="_Toc20727_WPSOffice_Level1"/>
      <w:r>
        <w:rPr>
          <w:rFonts w:ascii="Times New Roman" w:hAnsi="Times New Roman" w:eastAsia="黑体" w:cs="Times New Roman"/>
          <w:sz w:val="30"/>
          <w:szCs w:val="30"/>
        </w:rPr>
        <w:t>四、非银行金融机构（不含保险公司）外汇业务备案管理</w:t>
      </w:r>
      <w:bookmarkEnd w:id="4"/>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pStyle w:val="6"/>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w:t>
      </w:r>
      <w:r>
        <w:rPr>
          <w:rFonts w:hint="eastAsia" w:ascii="Times New Roman" w:hAnsi="Times New Roman" w:eastAsia="仿宋_GB2312"/>
          <w:color w:val="auto"/>
          <w:sz w:val="30"/>
        </w:rPr>
        <w:t>国家外汇管理局安徽省分局</w:t>
      </w:r>
      <w:r>
        <w:rPr>
          <w:rFonts w:ascii="Times New Roman" w:hAnsi="Times New Roman" w:eastAsia="仿宋_GB2312"/>
          <w:color w:val="auto"/>
          <w:sz w:val="30"/>
          <w:szCs w:val="30"/>
        </w:rPr>
        <w:t>。</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pStyle w:val="6"/>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w:t>
      </w:r>
      <w:r>
        <w:rPr>
          <w:rFonts w:hint="eastAsia" w:ascii="Times New Roman" w:hAnsi="Times New Roman" w:eastAsia="仿宋_GB2312"/>
          <w:color w:val="auto"/>
          <w:sz w:val="30"/>
        </w:rPr>
        <w:t>国家外汇管理局安徽省分局</w:t>
      </w:r>
      <w:r>
        <w:rPr>
          <w:rFonts w:ascii="Times New Roman" w:hAnsi="Times New Roman" w:eastAsia="仿宋_GB2312"/>
          <w:color w:val="auto"/>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bookmarkStart w:id="13" w:name="_GoBack"/>
      <w:bookmarkEnd w:id="13"/>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jc w:val="left"/>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（十五）咨询途径、监督和投诉、公开查询等由国家外汇管理局安徽省分局及辖内中心支局</w:t>
      </w:r>
      <w:r>
        <w:rPr>
          <w:rFonts w:hint="eastAsia" w:ascii="Times New Roman" w:hAnsi="Times New Roman" w:eastAsia="黑体"/>
          <w:sz w:val="30"/>
          <w:szCs w:val="30"/>
        </w:rPr>
        <w:t>（支局）办理</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向国家外汇管理局安徽省分局进行咨询、进程查询、监督和投诉等可通过国家外汇管理局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sz w:val="30"/>
          <w:szCs w:val="30"/>
        </w:rPr>
        <w:t>www.safe.gov.cn</w:t>
      </w:r>
      <w:r>
        <w:rPr>
          <w:rFonts w:ascii="Times New Roman" w:hAnsi="Times New Roman" w:eastAsia="仿宋_GB2312"/>
          <w:sz w:val="30"/>
          <w:szCs w:val="30"/>
        </w:rPr>
        <w:fldChar w:fldCharType="end"/>
      </w:r>
      <w:r>
        <w:rPr>
          <w:rFonts w:ascii="Times New Roman" w:hAnsi="Times New Roman" w:eastAsia="仿宋_GB2312"/>
          <w:sz w:val="30"/>
          <w:szCs w:val="30"/>
        </w:rPr>
        <w:t>进行链接，也可通过</w:t>
      </w:r>
      <w:r>
        <w:fldChar w:fldCharType="begin"/>
      </w:r>
      <w:r>
        <w:instrText xml:space="preserve"> 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rPr>
          <w:rFonts w:hint="eastAsia" w:ascii="Times New Roman" w:hAnsi="Times New Roman" w:eastAsia="仿宋_GB2312"/>
          <w:sz w:val="30"/>
          <w:szCs w:val="30"/>
        </w:rP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，安徽省分局咨询电话：0551-63691123</w:t>
      </w:r>
      <w:r>
        <w:rPr>
          <w:rFonts w:ascii="Times New Roman" w:hAnsi="Times New Roman" w:eastAsia="仿宋_GB2312"/>
          <w:sz w:val="30"/>
          <w:szCs w:val="30"/>
        </w:rPr>
        <w:t>。</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该项行政许可具体由国家外汇管理局安徽省分局办理</w:t>
      </w:r>
      <w:r>
        <w:rPr>
          <w:rFonts w:hint="eastAsia" w:ascii="Times New Roman" w:hAnsi="Times New Roman" w:eastAsia="仿宋_GB2312"/>
          <w:sz w:val="30"/>
          <w:szCs w:val="30"/>
        </w:rPr>
        <w:t>。</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：合肥市滨湖新区洞庭湖路3366号，办公时间：工作日上午8:30-12:00，下午14:00-17:00。</w:t>
      </w:r>
    </w:p>
    <w:p/>
    <w:p/>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o:spt="203" style="position:absolute;left:0pt;margin-left:-24.75pt;margin-top:11.85pt;height:586.05pt;width:453.55pt;z-index:251658240;mso-width-relative:page;mso-height-relative:page;" coordsize="9071,11721">
            <o:lock v:ext="edit" position="f" selection="f" grouping="f" rotation="f" cropping="f" text="f" aspectratio="f"/>
            <v:rect id="矩形 1027" o:spid="_x0000_s1028" o:spt="1" style="position:absolute;left:3058;top:8319;height:534;width:298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t>审核</w:t>
                    </w:r>
                  </w:p>
                </w:txbxContent>
              </v:textbox>
            </v:rect>
            <v:shape id="流程图: 终止 1028" o:spid="_x0000_s1029" o:spt="116" type="#_x0000_t116" style="position:absolute;left:4570;top:10681;height:1037;width:367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29" o:spid="_x0000_s1030" o:spt="116" type="#_x0000_t116" style="position:absolute;left:845;top:10663;height:1058;width:3461;"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直接连接符 1030" o:spid="_x0000_s1031" o:spt="32" type="#_x0000_t32" style="position:absolute;left:4532;top:7693;height:626;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1" o:spid="_x0000_s1032" o:spt="32" type="#_x0000_t32" style="position:absolute;left:6481;top:9568;height:1095;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2" o:spid="_x0000_s1033" o:spt="32" type="#_x0000_t32" style="position:absolute;left:2508;top:9568;height:103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3" o:spid="_x0000_s1034" o:spt="32" type="#_x0000_t32" style="position:absolute;left:4533;top:8853;height:715;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34" o:spid="_x0000_s1035" o:spt="32" type="#_x0000_t32" style="position:absolute;left:2509;top:9568;height:0;width:3972;"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35" o:spid="_x0000_s1036" o:spt="203" style="position:absolute;left:0;top:0;height:7693;width:9071;" coordsize="9071,7693">
              <o:lock v:ext="edit" position="f" selection="f" grouping="f" rotation="f" cropping="f" text="f" aspectratio="f"/>
              <v:shape id="直接连接符 1036" o:spid="_x0000_s1037" o:spt="32" type="#_x0000_t32" style="position:absolute;left:6043;top:6566;height:60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37" o:spid="_x0000_s1038" o:spt="203" style="position:absolute;left:0;top:0;height:7693;width:9071;" coordsize="9071,7693">
                <o:lock v:ext="edit" position="f" selection="f" grouping="f" rotation="f" cropping="f" text="f" aspectratio="f"/>
                <v:shape id="肘形连接符 1038" o:spid="_x0000_s1039" o:spt="34" type="#_x0000_t34" style="position:absolute;left:6513;top:3151;height:1285;width:3823;rotation:17694720f;" fillcolor="#FFFFFF" filled="t" o:preferrelative="t" stroked="t" coordsize="21600,21600" adj="33">
                  <v:path arrowok="t"/>
                  <v:fill on="t" focussize="0,0"/>
                  <v:stroke color="#000000" color2="#FFFFFF" opacity="65536f" miterlimit="2"/>
                  <v:imagedata gain="65536f" blacklevel="0f" gamma="0" o:title=""/>
                  <o:lock v:ext="edit" position="f" selection="f" grouping="f" rotation="f" cropping="f" text="f" aspectratio="f"/>
                </v:shape>
                <v:rect id="矩形 1039" o:spid="_x0000_s1040" o:spt="1" style="position:absolute;left:8146;top:2297;height:2553;width:754;"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40" o:spid="_x0000_s1041" o:spt="32" type="#_x0000_t32" style="position:absolute;left:6043;top:4472;height:37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41" o:spid="_x0000_s1042" o:spt="1" style="position:absolute;left:2718;top:6566;height:477;width:2737;"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材料齐全并符合受理要求</w:t>
                        </w:r>
                      </w:p>
                    </w:txbxContent>
                  </v:textbox>
                </v:rect>
                <v:shape id="菱形 1042" o:spid="_x0000_s1043" o:spt="4" type="#_x0000_t4" style="position:absolute;left:4306;top:4833;height:1733;width:348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申请人补充材料</w:t>
                        </w:r>
                      </w:p>
                    </w:txbxContent>
                  </v:textbox>
                </v:shape>
                <v:rect id="矩形 1043" o:spid="_x0000_s1044" o:spt="1" style="position:absolute;left:2718;top:7174;height:519;width:481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矩形 1044" o:spid="_x0000_s1045" o:spt="1" style="position:absolute;left:4716;top:3341;height:1114;width:319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流程图: 终止 1045" o:spid="_x0000_s1046" o:spt="116" type="#_x0000_t116" style="position:absolute;left:4776;top:1187;height:1588;width:2934;"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o:spt="203" style="position:absolute;left:0;top:0;height:7424;width:4744;" coordsize="4744,7424">
                  <o:lock v:ext="edit" position="f" selection="f" grouping="f" rotation="f" cropping="f" text="f" aspectratio="f"/>
                  <v:shape id="直接连接符 1047" o:spid="_x0000_s1048" o:spt="32" type="#_x0000_t32" style="position:absolute;left:3813;top:3910;height:0;width:93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8" o:spid="_x0000_s1049" o:spt="32" type="#_x0000_t32" style="position:absolute;left:1505;top:3986;height:3437;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49" o:spid="_x0000_s1050" o:spt="203" style="position:absolute;left:0;top:0;height:4095;width:3813;" coordsize="3813,4095">
                    <o:lock v:ext="edit" position="f" selection="f" grouping="f" rotation="f" cropping="f" text="f" aspectratio="f"/>
                    <v:shape id="直接连接符 1050" o:spid="_x0000_s1051" o:spt="32" type="#_x0000_t32" style="position:absolute;left:1546;top:1172;height:764;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1" o:spid="_x0000_s1052" o:spt="32" type="#_x0000_t32" style="position:absolute;left:2779;top:3012;height:0;width:1034;"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菱形 1052" o:spid="_x0000_s1053" o:spt="4" type="#_x0000_t4" style="position:absolute;left:0;top:1936;height:2159;width:2923;"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流程图: 终止 1053" o:spid="_x0000_s1054" o:spt="116" type="#_x0000_t116" style="position:absolute;left:334;top:0;height:1172;width:2724;"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申请人提出书面申请，并提交材料</w:t>
                            </w:r>
                          </w:p>
                        </w:txbxContent>
                      </v:textbox>
                    </v:shape>
                  </v:group>
                  <v:shape id="直接连接符 1054" o:spid="_x0000_s1055" o:spt="32" type="#_x0000_t32" style="position:absolute;left:1505;top:7423;height:1;width:121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5" o:spid="_x0000_s1056" o:spt="32" type="#_x0000_t32" style="position:absolute;left:3813;top:1999;height:1921;width:0;"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56" o:spid="_x0000_s1057" o:spt="32" type="#_x0000_t32" style="position:absolute;left:3813;top:1989;height:1;width:90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57" o:spid="_x0000_s1058" o:spt="1" style="position:absolute;left:747;top:5280;height:1152;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是</w:t>
                          </w:r>
                        </w:p>
                      </w:txbxContent>
                    </v:textbox>
                  </v:rect>
                  <v:rect id="矩形 1058" o:spid="_x0000_s1059" o:spt="1" style="position:absolute;left:2949;top:2220;height:471;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style="mso-fit-shape-to-text:t;">
                      <w:txbxContent>
                        <w:p>
                          <w:r>
                            <w:rPr>
                              <w:rFonts w:hint="eastAsia"/>
                            </w:rPr>
                            <w:t>否</w:t>
                          </w:r>
                        </w:p>
                      </w:txbxContent>
                    </v:textbox>
                  </v:rect>
                </v:group>
                <v:shape id="直接连接符 1059" o:spid="_x0000_s1060" o:spt="32" type="#_x0000_t32" style="position:absolute;left:7770;top:1886;flip:x;height:19;width:130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ind w:right="300"/>
        <w:jc w:val="both"/>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5" w:name="_Toc6367"/>
      <w:bookmarkStart w:id="6" w:name="_Toc492328432"/>
      <w:bookmarkStart w:id="7" w:name="_Toc487492190"/>
      <w:bookmarkStart w:id="8" w:name="_Toc495992549"/>
      <w:bookmarkStart w:id="9" w:name="_Toc485285487"/>
      <w:r>
        <w:rPr>
          <w:rFonts w:ascii="Times New Roman" w:hAnsi="黑体" w:eastAsia="黑体" w:cs="Times New Roman"/>
          <w:sz w:val="30"/>
          <w:szCs w:val="30"/>
        </w:rPr>
        <w:t>境内非银行金融机构外汇业务备案表</w:t>
      </w:r>
      <w:bookmarkEnd w:id="5"/>
      <w:bookmarkEnd w:id="6"/>
      <w:bookmarkEnd w:id="7"/>
      <w:bookmarkEnd w:id="8"/>
      <w:bookmarkEnd w:id="9"/>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bookmarkStart w:id="10" w:name="_Toc31020_WPSOffice_Level1"/>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bookmarkEnd w:id="10"/>
    </w:p>
    <w:tbl>
      <w:tblPr>
        <w:tblStyle w:val="5"/>
        <w:tblW w:w="98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widowControl/>
        <w:spacing w:line="384" w:lineRule="auto"/>
        <w:jc w:val="left"/>
        <w:rPr>
          <w:rFonts w:ascii="Times New Roman" w:hAnsi="Times New Roman" w:eastAsia="仿宋_GB2312" w:cs="Times New Roman"/>
          <w:kern w:val="0"/>
          <w:sz w:val="30"/>
          <w:szCs w:val="30"/>
        </w:rPr>
      </w:pPr>
      <w:bookmarkStart w:id="11" w:name="_Toc428779979"/>
      <w:r>
        <w:rPr>
          <w:rFonts w:ascii="Times New Roman" w:hAnsi="Times New Roman" w:eastAsia="仿宋_GB2312" w:cs="Times New Roman"/>
          <w:kern w:val="0"/>
          <w:sz w:val="30"/>
          <w:szCs w:val="30"/>
        </w:rPr>
        <w:t>附录三</w:t>
      </w:r>
    </w:p>
    <w:bookmarkEnd w:id="11"/>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bookmarkStart w:id="12" w:name="_Toc20708_WPSOffice_Level1"/>
      <w:r>
        <w:rPr>
          <w:rFonts w:ascii="Times New Roman" w:hAnsi="Times New Roman" w:eastAsia="华文仿宋" w:cs="Times New Roman"/>
          <w:sz w:val="24"/>
        </w:rPr>
        <w:t>备案日期：  年  月  日                   编号（外汇局填写）：</w:t>
      </w:r>
      <w:bookmarkEnd w:id="12"/>
    </w:p>
    <w:tbl>
      <w:tblPr>
        <w:tblStyle w:val="5"/>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3" o:spid="_x0000_s1061" o:spt="3" type="#_x0000_t3" style="position:absolute;left:0pt;margin-left:-17.95pt;margin-top:-1.4pt;height:38.35pt;width:91.65pt;z-index:251659264;mso-width-relative:page;mso-height-relative:page;" fillcolor="#FFFFFF" filled="f" o:preferrelative="t" stroked="t" coordsize="21600,21600">
                  <v:path/>
                  <v:fill on="f" color2="#FFFFFF" focussize="0,0"/>
                  <v:stroke color="#000000" color2="#FFFFFF" opacity="65536f" miterlimit="2"/>
                  <v:imagedata gain="65536f" blacklevel="0f" gamma="0" o:title=""/>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 o:spid="_x0000_s1062" o:spt="32" type="#_x0000_t32" style="position:absolute;left:0pt;flip:x;margin-left:-17.95pt;margin-top:14.25pt;height:36.5pt;width:10.8pt;z-index:251660288;mso-width-relative:page;mso-height-relative:page;"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2" o:spid="_x0000_s1063" o:spt="1" style="position:absolute;left:0pt;margin-left:-57.5pt;margin-top:-60.3pt;height:69.2pt;width:50.6pt;z-index:251661312;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6"/>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6"/>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w:t>
      </w:r>
      <w:r>
        <w:rPr>
          <w:rFonts w:hint="eastAsia" w:ascii="Times New Roman" w:hAnsi="Times New Roman" w:eastAsia="仿宋_GB2312"/>
          <w:bCs/>
          <w:kern w:val="0"/>
          <w:sz w:val="30"/>
          <w:szCs w:val="30"/>
        </w:rPr>
        <w:t>分</w:t>
      </w:r>
      <w:r>
        <w:rPr>
          <w:rFonts w:ascii="Times New Roman" w:hAnsi="Times New Roman" w:eastAsia="仿宋_GB2312"/>
          <w:bCs/>
          <w:kern w:val="0"/>
          <w:sz w:val="30"/>
          <w:szCs w:val="30"/>
        </w:rPr>
        <w:t>局办理开展外汇业务备案登记。</w:t>
      </w:r>
    </w:p>
    <w:p>
      <w:pPr>
        <w:pStyle w:val="6"/>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p>
      <w:pPr>
        <w:ind w:right="30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35"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240</w:t>
                </w:r>
                <w:r>
                  <w:rPr>
                    <w:rFonts w:hint="eastAsia"/>
                    <w:sz w:val="18"/>
                  </w:rPr>
                  <w:fldChar w:fldCharType="end"/>
                </w:r>
              </w:p>
            </w:txbxContent>
          </v:textbox>
        </v:rect>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1BF0F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30"/>
        <o:r id="V:Rule2" type="connector" idref="#直接连接符 1031"/>
        <o:r id="V:Rule3" type="connector" idref="#直接连接符 1032"/>
        <o:r id="V:Rule4" type="connector" idref="#直接连接符 1033"/>
        <o:r id="V:Rule5" type="connector" idref="#直接连接符 1034"/>
        <o:r id="V:Rule6" type="connector" idref="#直接连接符 1036"/>
        <o:r id="V:Rule7" type="connector" idref="#肘形连接符 1038"/>
        <o:r id="V:Rule8" type="connector" idref="#直接连接符 1040"/>
        <o:r id="V:Rule9" type="connector" idref="#直接连接符 1047"/>
        <o:r id="V:Rule10" type="connector" idref="#直接连接符 1048"/>
        <o:r id="V:Rule11" type="connector" idref="#直接连接符 1050"/>
        <o:r id="V:Rule12" type="connector" idref="#直接连接符 1051"/>
        <o:r id="V:Rule13" type="connector" idref="#直接连接符 1054"/>
        <o:r id="V:Rule14" type="connector" idref="#直接连接符 1055"/>
        <o:r id="V:Rule15" type="connector" idref="#直接连接符 1056"/>
        <o:r id="V:Rule16" type="connector" idref="#直接连接符 1059"/>
        <o:r id="V:Rule17"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4">
    <w:name w:val="Default Paragraph Font"/>
    <w:semiHidden/>
    <w:qFormat/>
    <w:uiPriority w:val="0"/>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4"/>
    <w:basedOn w:val="1"/>
    <w:qFormat/>
    <w:uiPriority w:val="0"/>
    <w:pPr>
      <w:ind w:firstLine="200" w:firstLineChars="20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8"/>
    <customShpInfo spid="_x0000_s1029"/>
    <customShpInfo spid="_x0000_s1030"/>
    <customShpInfo spid="_x0000_s1031" textRotate="1"/>
    <customShpInfo spid="_x0000_s1032" textRotate="1"/>
    <customShpInfo spid="_x0000_s1033" textRotate="1"/>
    <customShpInfo spid="_x0000_s1034" textRotate="1"/>
    <customShpInfo spid="_x0000_s1035" textRotate="1"/>
    <customShpInfo spid="_x0000_s1037" textRotate="1"/>
    <customShpInfo spid="_x0000_s1039" textRotate="1"/>
    <customShpInfo spid="_x0000_s1040"/>
    <customShpInfo spid="_x0000_s1041" textRotate="1"/>
    <customShpInfo spid="_x0000_s1042"/>
    <customShpInfo spid="_x0000_s1043"/>
    <customShpInfo spid="_x0000_s1044"/>
    <customShpInfo spid="_x0000_s1045"/>
    <customShpInfo spid="_x0000_s1046"/>
    <customShpInfo spid="_x0000_s1048" textRotate="1"/>
    <customShpInfo spid="_x0000_s1049" textRotate="1"/>
    <customShpInfo spid="_x0000_s1051" textRotate="1"/>
    <customShpInfo spid="_x0000_s1052" textRotate="1"/>
    <customShpInfo spid="_x0000_s1053"/>
    <customShpInfo spid="_x0000_s1054"/>
    <customShpInfo spid="_x0000_s1050"/>
    <customShpInfo spid="_x0000_s1055" textRotate="1"/>
    <customShpInfo spid="_x0000_s1056" textRotate="1"/>
    <customShpInfo spid="_x0000_s1057" textRotate="1"/>
    <customShpInfo spid="_x0000_s1058"/>
    <customShpInfo spid="_x0000_s1059"/>
    <customShpInfo spid="_x0000_s1047"/>
    <customShpInfo spid="_x0000_s1060" textRotate="1"/>
    <customShpInfo spid="_x0000_s1038"/>
    <customShpInfo spid="_x0000_s1036"/>
    <customShpInfo spid="_x0000_s1027"/>
    <customShpInfo spid="_x0000_s1061"/>
    <customShpInfo spid="_x0000_s1062" textRotate="1"/>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2023-08-17T09:38:00Z</dcterms:created>
  <dc:creator>悲伤还是快乐</dc:creator>
  <cp:lastModifiedBy>匿名用户</cp:lastModifiedBy>
  <dcterms:modified xsi:type="dcterms:W3CDTF">2023-08-18T02:34:34Z</dcterms:modified>
  <dc:title>“非银行金融机构（不含保险公司）外汇业务备案管理”行政审批服务指南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0582DF356BF64AD2823983149D07DEDC_11</vt:lpwstr>
  </property>
</Properties>
</file>