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header+xml" PartName="/word/header1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>编号：57016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图片 1" o:spid="_x0000_s1026" type="#_x0000_t75" style="height:69.75pt;width:87pt;rotation:0f;" o:ole="f" fillcolor="#FFFFFF" filled="f" o:preferrelative="t" stroked="f" coordorigin="0,0" coordsize="21600,21600">
            <v:fill on="f" color2="#FFFFFF" focus="0%"/>
            <v:imagedata gain="65536f" blacklevel="0f" gamma="0" o:title="" r:id="rId10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“外币现钞提取、调运和携带出境审核”行政审批服务指南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发布日期：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2020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年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11月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20日</w:t>
      </w:r>
    </w:p>
    <w:p>
      <w:pPr>
        <w:ind w:right="300"/>
        <w:jc w:val="center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实施日期：2020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年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11月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20日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仿宋_GB2312" w:hAnsi="Times New Roman" w:eastAsia="仿宋_GB2312" w:cs="Times New Roman"/>
          <w:sz w:val="30"/>
          <w:szCs w:val="30"/>
        </w:rPr>
        <w:sectPr>
          <w:headerReference r:id="rId4" w:type="first"/>
          <w:footerReference r:id="rId6" w:type="first"/>
          <w:footerReference r:id="rId5" w:type="default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</w:p>
    <w:p>
      <w:pPr>
        <w:ind w:right="300"/>
        <w:jc w:val="left"/>
        <w:rPr>
          <w:rFonts w:ascii="Times New Roman" w:hAnsi="Times New Roman" w:eastAsia="黑体" w:cs="Times New Roman"/>
          <w:sz w:val="48"/>
          <w:szCs w:val="48"/>
        </w:rPr>
        <w:sectPr>
          <w:footerReference r:id="rId7" w:type="default"/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项目名称：外币现钞提取、调运和携带出境审核；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项目编号：57016；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本指南适用于“外币现钞提取、调运和携带出境审核”的申请和办理。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（一）《中华人民共和国外汇管理条例》（国务院令第532号）第十五条：“携带、申报外币现钞出入境的限额，由国务院外汇管理部门规定”；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（二）《国务院对确需保留的行政审批项目设定行政许可的决定》（国务院令第412号）附件第495项“机构单笔提取超过规定金额外币现钞审批”。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四、个人外币现钞携带出境审核（一人携带超过等值10000美元现钞出境）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1.《中华人民共和国外汇管理条例》（国务院令532号）；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2.《携带外币现钞出入境管理暂行办法》（汇发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〔2003〕</w:t>
      </w:r>
      <w:r>
        <w:rPr>
          <w:rFonts w:ascii="Times New Roman" w:hAnsi="Times New Roman" w:eastAsia="仿宋_GB2312" w:cs="Times New Roman"/>
          <w:sz w:val="30"/>
          <w:szCs w:val="30"/>
        </w:rPr>
        <w:t>102号）；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3.《关于印发〈携带外币现钞出入境管理操作规程〉的通知》（汇发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〔2004〕</w:t>
      </w:r>
      <w:r>
        <w:rPr>
          <w:rFonts w:ascii="Times New Roman" w:hAnsi="Times New Roman" w:eastAsia="仿宋_GB2312" w:cs="Times New Roman"/>
          <w:sz w:val="30"/>
          <w:szCs w:val="30"/>
        </w:rPr>
        <w:t>21号）。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4.</w:t>
      </w:r>
      <w:r>
        <w:rPr>
          <w:rFonts w:ascii="Times New Roman" w:hAnsi="Times New Roman" w:eastAsia="仿宋_GB2312" w:cs="Times New Roman"/>
          <w:sz w:val="30"/>
          <w:szCs w:val="30"/>
        </w:rPr>
        <w:t>《国家外汇管理局关于印发〈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经常项目外汇业务指引（2020年版）</w:t>
      </w:r>
      <w:r>
        <w:rPr>
          <w:rFonts w:ascii="Times New Roman" w:hAnsi="Times New Roman" w:eastAsia="仿宋_GB2312" w:cs="Times New Roman"/>
          <w:sz w:val="30"/>
          <w:szCs w:val="30"/>
        </w:rPr>
        <w:t>〉的通知》（汇发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〔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2020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〕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14号</w:t>
      </w:r>
      <w:r>
        <w:rPr>
          <w:rFonts w:ascii="Times New Roman" w:hAnsi="Times New Roman" w:eastAsia="仿宋_GB2312" w:cs="Times New Roman"/>
          <w:sz w:val="30"/>
          <w:szCs w:val="30"/>
        </w:rPr>
        <w:t>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经办</w:t>
      </w:r>
      <w:r>
        <w:rPr>
          <w:rFonts w:ascii="Times New Roman" w:hAnsi="Times New Roman" w:eastAsia="仿宋_GB2312" w:cs="Times New Roman"/>
          <w:sz w:val="30"/>
          <w:szCs w:val="30"/>
        </w:rPr>
        <w:t>银行所在地国家外汇管理局分支局。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（三）决定机构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经办</w:t>
      </w:r>
      <w:r>
        <w:rPr>
          <w:rFonts w:ascii="Times New Roman" w:hAnsi="Times New Roman" w:eastAsia="仿宋_GB2312" w:cs="Times New Roman"/>
          <w:sz w:val="30"/>
          <w:szCs w:val="30"/>
        </w:rPr>
        <w:t>银行所在地国家外汇管理局分支局。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申请人为拟出境个人，应符合以下条件之一：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1.人数较多的出境团组；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2.出境时间较长或旅途较长的科学考察团组；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3.政府领导人出访；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4.出境人员赴战乱、外汇管制严格、金融条件差或金融动乱的国家；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5.其他特殊情况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除此之外，出境人员不得携带超过等值10000美元的外币现钞出境。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禁止性要求：申请材料不齐全，不符合法规规定。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（六）申请材料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1.个人外币现钞携带出境审核新增（一人携带超过等值10000美元现钞出境）申请材料清单</w:t>
      </w:r>
    </w:p>
    <w:tbl>
      <w:tblPr>
        <w:tblW w:w="840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3969"/>
        <w:gridCol w:w="1701"/>
        <w:gridCol w:w="567"/>
        <w:gridCol w:w="850"/>
        <w:gridCol w:w="426"/>
        <w:gridCol w:w="4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护照等相关出境证件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原件和加盖签章的复印件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有效签证或签注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（实行免签或落地签的国家和地区不提供）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原件和加盖签章的复印件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存款证明（利息清单或取款凭条）或相关购汇凭证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原件和加盖企业公章的复印件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确需携带超过等值10000美元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外币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现钞出境的证明材料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原件和加盖企业公章的复印件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2.个人外币现钞携带出境审核补办（一人携带超过等值10000美元现钞出境）申请材料清单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包括遗失《携带外汇出境许可证》的补办和逾期《携带外汇出境许可证》（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超过</w:t>
      </w:r>
      <w:r>
        <w:rPr>
          <w:rFonts w:ascii="Times New Roman" w:hAnsi="Times New Roman" w:eastAsia="仿宋_GB2312" w:cs="Times New Roman"/>
          <w:sz w:val="30"/>
          <w:szCs w:val="30"/>
        </w:rPr>
        <w:t>等值1万美元）的补办（个人出境后不予补办）。</w:t>
      </w:r>
    </w:p>
    <w:tbl>
      <w:tblPr>
        <w:tblW w:w="85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"/>
        <w:gridCol w:w="957"/>
        <w:gridCol w:w="718"/>
        <w:gridCol w:w="718"/>
        <w:gridCol w:w="718"/>
        <w:gridCol w:w="359"/>
        <w:gridCol w:w="47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3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472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补办申请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35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724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原《携带外汇出境许可证》由外汇局签发的，按此材料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由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外汇局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补办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。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外汇局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在补办的《携带外汇出境许可证》上加注“补办”字样。</w:t>
            </w:r>
          </w:p>
        </w:tc>
      </w:tr>
    </w:tbl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申请人可通过国家外汇管理局分支局窗口提交材料。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申请人提交申请材料；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分支局受理；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分支局审查；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分支局审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材料齐全予以当场办理，材料不全或不符合其他法定形式的，一次性告知补正材料，并依法出具《行政许可补正通知书》或其他文书。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当场办理：申请、受理、审查、决定、出具《携带外汇出境许可证》或不予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当场办理。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《携带外汇出境许可证》（一人一证）。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当场告知申请人，现场领取。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（十五）咨询途径、监督和投诉、公开查询等由所在地分支局办理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向国家外汇管理局咨询、监督投诉、公开查询等可通过国家外汇管理局官方互联网站公众交流栏目进行。网址为</w:t>
      </w:r>
      <w:r>
        <w:fldChar w:fldCharType="begin"/>
      </w:r>
      <w:r>
        <w:instrText xml:space="preserve">HYPERLINK "http://www.safe/" </w:instrText>
      </w:r>
      <w:r>
        <w:fldChar w:fldCharType="separate"/>
      </w:r>
      <w:r>
        <w:rPr>
          <w:rFonts w:ascii="Times New Roman" w:hAnsi="Times New Roman" w:eastAsia="仿宋_GB2312" w:cs="Times New Roman"/>
          <w:sz w:val="30"/>
          <w:szCs w:val="30"/>
        </w:rPr>
        <w:t>www.safe</w:t>
      </w:r>
      <w:r>
        <w:fldChar w:fldCharType="end"/>
      </w:r>
      <w:r>
        <w:rPr>
          <w:rFonts w:ascii="Times New Roman" w:hAnsi="Times New Roman" w:eastAsia="仿宋_GB2312" w:cs="Times New Roman"/>
          <w:sz w:val="30"/>
          <w:szCs w:val="30"/>
        </w:rPr>
        <w:t>.gov.cn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向各地外汇局进行咨询、办理进程查询、监督和投诉等可通过各地外汇局官方互联网站的相应栏目进行。网址可通过</w:t>
      </w:r>
      <w:r>
        <w:fldChar w:fldCharType="begin"/>
      </w:r>
      <w:r>
        <w:instrText xml:space="preserve">HYPERLINK "http://www.safe.gov.cn/" </w:instrText>
      </w:r>
      <w:r>
        <w:fldChar w:fldCharType="separate"/>
      </w:r>
      <w:r>
        <w:rPr>
          <w:rFonts w:ascii="Times New Roman" w:hAnsi="Times New Roman" w:eastAsia="仿宋_GB2312" w:cs="Times New Roman"/>
          <w:sz w:val="30"/>
          <w:szCs w:val="30"/>
        </w:rPr>
        <w:t>www.safe.gov.cn</w:t>
      </w:r>
      <w:r>
        <w:fldChar w:fldCharType="end"/>
      </w:r>
      <w:r>
        <w:rPr>
          <w:rFonts w:ascii="Times New Roman" w:hAnsi="Times New Roman" w:eastAsia="仿宋_GB2312" w:cs="Times New Roman"/>
          <w:sz w:val="30"/>
          <w:szCs w:val="30"/>
        </w:rPr>
        <w:t>进行链接，也可通过各外汇局官方互联网站上公布的电话进行。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（十六）事项审查类型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即审即办。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（十七）办公地址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时间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、联系方式</w:t>
      </w:r>
      <w:bookmarkStart w:id="0" w:name="_GoBack"/>
      <w:bookmarkEnd w:id="0"/>
    </w:p>
    <w:p>
      <w:pPr>
        <w:adjustRightInd w:val="0"/>
        <w:snapToGrid w:val="0"/>
        <w:spacing w:line="360" w:lineRule="auto"/>
        <w:ind w:firstLine="6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办公地址：云南省昆明市五华区正义路69号国家外汇管理局云南省分局1504室</w:t>
      </w:r>
    </w:p>
    <w:p>
      <w:pPr>
        <w:adjustRightInd w:val="0"/>
        <w:snapToGrid w:val="0"/>
        <w:spacing w:line="360" w:lineRule="auto"/>
        <w:ind w:firstLine="6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办公时间：上午8：30—12：00   下午13:30—17:00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联系电话：0871-63212453（经常项目管理处）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（十八）示范文本及错误范例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个人申请携带超过等值10000美元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外币</w:t>
      </w:r>
      <w:r>
        <w:rPr>
          <w:rFonts w:ascii="Times New Roman" w:hAnsi="Times New Roman" w:eastAsia="仿宋_GB2312" w:cs="Times New Roman"/>
          <w:sz w:val="30"/>
          <w:szCs w:val="30"/>
        </w:rPr>
        <w:t>现钞出境，应提交申请书，说明相关情况并证明其确有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携带超过等值10000美元外币现钞出境</w:t>
      </w:r>
      <w:r>
        <w:rPr>
          <w:rFonts w:ascii="Times New Roman" w:hAnsi="Times New Roman" w:eastAsia="仿宋_GB2312" w:cs="Times New Roman"/>
          <w:sz w:val="30"/>
          <w:szCs w:val="30"/>
        </w:rPr>
        <w:t>需求，并签字；涉及单位组团出境的，应由单位提交申请并盖单位公章。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例：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外汇局XXX分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支</w:t>
      </w:r>
      <w:r>
        <w:rPr>
          <w:rFonts w:ascii="Times New Roman" w:hAnsi="Times New Roman" w:eastAsia="仿宋_GB2312" w:cs="Times New Roman"/>
          <w:sz w:val="30"/>
          <w:szCs w:val="30"/>
        </w:rPr>
        <w:t>局：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本人某某，身份证号/护照号为XX，今因公务原因/回国/南北极考察……须前往XX国/地区，XX国/地区系战乱/金融管制/……国家，本人须携带外币现钞XXX元出境，币种为XX。本人外币现钞来源为XXX/用途为XXX，望批准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5850" w:firstLineChars="195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签名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                               日期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外汇局XX分支局：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今我单位XXX，身份证号/护照号为XX，因南北极考察/公务出国/……须前往XX国/地区，XX国/地区系战乱/金融管制/南北极特殊地区……,须携带外币现钞XXX元出境，币种为XX。用途主要为……，望你单位批准。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                             单位公章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                             日期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错误范例：金额、申请人名称、携钞用途/来源、携钞金额及币种等项目遗漏，未签章确认，或用途不符合外汇局携钞出境相关法规要求。</w:t>
      </w:r>
    </w:p>
    <w:p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>
      <w:pPr>
        <w:ind w:right="3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附录</w:t>
      </w: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基本流程图</w:t>
      </w: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shape id="AutoShape 636" o:spid="_x0000_s1027" type="#_x0000_t116" style="position:absolute;left:0;margin-left:0.15pt;margin-top:5.95pt;height:58.6pt;width:86.2pt;rotation:0f;z-index:251658240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申请人提交申请材料</w:t>
                  </w:r>
                </w:p>
              </w:txbxContent>
            </v:textbox>
          </v:shape>
        </w:pict>
      </w:r>
    </w:p>
    <w:p>
      <w:pPr>
        <w:ind w:right="300"/>
        <w:rPr>
          <w:rFonts w:ascii="仿宋_GB2312" w:eastAsia="仿宋_GB2312"/>
          <w:sz w:val="30"/>
          <w:szCs w:val="30"/>
        </w:rPr>
      </w:pP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roundrect id="AutoShape 639" o:spid="_x0000_s1028" style="position:absolute;left:0;margin-left:144.95pt;margin-top:139.3pt;height:31.5pt;width:268.1pt;rotation:0f;z-index:251661312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材料齐全予以当场办理</w:t>
                  </w:r>
                </w:p>
                <w:p/>
              </w:txbxContent>
            </v:textbox>
          </v:roundrect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roundrect id="AutoShape 637" o:spid="_x0000_s1029" style="position:absolute;left:0;margin-left:273.6pt;margin-top:28.3pt;height:33.7pt;width:146.45pt;rotation:0f;z-index:251659264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申请人补全材料</w:t>
                  </w:r>
                </w:p>
              </w:txbxContent>
            </v:textbox>
          </v:roundrect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roundrect id="AutoShape 638" o:spid="_x0000_s1030" style="position:absolute;left:0;margin-left:144.95pt;margin-top:86.7pt;height:43.55pt;width:268.1pt;rotation:0f;z-index:251660288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材料不全或不符合其他法定形式的，一次性告知补正材料，并依法出具《行政许可补正通知书》或其他文书</w:t>
                  </w:r>
                </w:p>
              </w:txbxContent>
            </v:textbox>
          </v:roundrect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shape id="AutoShape 645" o:spid="_x0000_s1031" type="#_x0000_t110" style="position:absolute;left:0;margin-left:-33pt;margin-top:75.55pt;height:95.25pt;width:147.75pt;rotation:0f;z-index:251667456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分支局受理、审查、审核</w:t>
                  </w:r>
                </w:p>
              </w:txbxContent>
            </v:textbox>
          </v:shape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shape id="AutoShape 644" o:spid="_x0000_s1032" type="#_x0000_t32" style="position:absolute;left:0;flip:x;margin-left:41.45pt;margin-top:47.75pt;height:0.05pt;width:232.15pt;rotation:0f;z-index:251666432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shape id="AutoShape 643" o:spid="_x0000_s1033" type="#_x0000_t32" style="position:absolute;left:0;flip:y;margin-left:345.35pt;margin-top:62pt;height:24.7pt;width:0.05pt;rotation:0f;z-index:251665408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shape id="AutoShape 642" o:spid="_x0000_s1034" type="#_x0000_t32" style="position:absolute;left:0;margin-left:86.35pt;margin-top:142.2pt;height:0.05pt;width:58.6pt;rotation:0f;z-index:251664384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shape id="AutoShape 641" o:spid="_x0000_s1035" type="#_x0000_t32" style="position:absolute;left:0;margin-left:86.35pt;margin-top:104.7pt;height:0.05pt;width:58.6pt;rotation:0f;z-index:251663360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shape id="AutoShape 640" o:spid="_x0000_s1036" type="#_x0000_t32" style="position:absolute;left:0;margin-left:40.6pt;margin-top:33.35pt;height:42.2pt;width:0.05pt;rotation:0f;z-index:251662336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585"/>
      </w:pPr>
    </w:p>
    <w:sectPr>
      <w:footerReference r:id="rId8" w:type="default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Calibri">
    <w:altName w:val="Century Gothic"/>
    <w:panose1 w:val="020F0502020204030204"/>
    <w:charset w:val="00"/>
    <w:family w:val="auto"/>
    <w:pitch w:val="default"/>
    <w:sig w:usb0="A00002EF" w:usb1="4000207B" w:usb2="00000000" w:usb3="00000000" w:csb0="0000009F" w:csb1="00000000"/>
  </w:font>
  <w:font w:name="Cambria">
    <w:altName w:val="Palatino Linotype"/>
    <w:panose1 w:val="02040503050406030204"/>
    <w:charset w:val="00"/>
    <w:family w:val="auto"/>
    <w:pitch w:val="default"/>
    <w:sig w:usb0="A00002EF" w:usb1="4000004B" w:usb2="00000000" w:usb3="00000000" w:csb0="0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qFormat="1" w:uiPriority="0" w:semiHidden="0" w:name="footnote reference"/>
    <w:lsdException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semiHidden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semiHidden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2"/>
    <w:qFormat/>
    <w:uiPriority w:val="9"/>
    <w:pPr>
      <w:ind w:right="300"/>
      <w:outlineLvl w:val="2"/>
    </w:pPr>
    <w:rPr>
      <w:rFonts w:ascii="仿宋_GB2312" w:eastAsia="仿宋_GB2312" w:cs="Times New Roman"/>
      <w:sz w:val="30"/>
      <w:szCs w:val="30"/>
    </w:rPr>
  </w:style>
  <w:style w:type="character" w:default="1" w:styleId="13">
    <w:name w:val="Default Paragraph Font"/>
    <w:semiHidden/>
    <w:unhideWhenUsed/>
    <w:uiPriority w:val="1"/>
  </w:style>
  <w:style w:type="paragraph" w:styleId="5">
    <w:name w:val="Document Map"/>
    <w:basedOn w:val="1"/>
    <w:link w:val="36"/>
    <w:unhideWhenUsed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29"/>
    <w:unhideWhenUsed/>
    <w:uiPriority w:val="99"/>
    <w:pPr>
      <w:jc w:val="left"/>
    </w:pPr>
    <w:rPr>
      <w:rFonts w:cs="Times New Roman"/>
    </w:rPr>
  </w:style>
  <w:style w:type="paragraph" w:styleId="7">
    <w:name w:val="Balloon Text"/>
    <w:basedOn w:val="1"/>
    <w:link w:val="27"/>
    <w:unhideWhenUsed/>
    <w:uiPriority w:val="0"/>
    <w:rPr>
      <w:sz w:val="18"/>
      <w:szCs w:val="18"/>
    </w:rPr>
  </w:style>
  <w:style w:type="paragraph" w:styleId="8">
    <w:name w:val="footer"/>
    <w:basedOn w:val="1"/>
    <w:link w:val="2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4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1">
    <w:name w:val="HTML Preformatted"/>
    <w:basedOn w:val="1"/>
    <w:link w:val="28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4">
    <w:name w:val="Hyperlink"/>
    <w:basedOn w:val="13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5">
    <w:name w:val="annotation reference"/>
    <w:basedOn w:val="13"/>
    <w:unhideWhenUsed/>
    <w:uiPriority w:val="0"/>
    <w:rPr>
      <w:sz w:val="21"/>
      <w:szCs w:val="21"/>
    </w:rPr>
  </w:style>
  <w:style w:type="character" w:styleId="16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</w:style>
  <w:style w:type="paragraph" w:customStyle="1" w:styleId="18">
    <w:name w:val="Default"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</w:rPr>
  </w:style>
  <w:style w:type="paragraph" w:customStyle="1" w:styleId="19">
    <w:name w:val="juzhong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">
    <w:name w:val="修订1"/>
    <w:hidden/>
    <w:semiHidden/>
    <w:uiPriority w:val="99"/>
    <w:rPr>
      <w:rFonts w:ascii="Calibri" w:hAnsi="Calibri" w:cs="黑体"/>
      <w:kern w:val="2"/>
      <w:sz w:val="21"/>
      <w:szCs w:val="22"/>
    </w:rPr>
  </w:style>
  <w:style w:type="paragraph" w:customStyle="1" w:styleId="21">
    <w:name w:val="列出段落11"/>
    <w:basedOn w:val="1"/>
    <w:qFormat/>
    <w:uiPriority w:val="34"/>
    <w:pPr>
      <w:ind w:firstLine="420" w:firstLineChars="200"/>
    </w:pPr>
    <w:rPr>
      <w:rFonts w:cs="Times New Roman"/>
    </w:rPr>
  </w:style>
  <w:style w:type="paragraph" w:customStyle="1" w:styleId="22">
    <w:name w:val="列出段落4"/>
    <w:basedOn w:val="1"/>
    <w:qFormat/>
    <w:uiPriority w:val="0"/>
    <w:pPr>
      <w:ind w:firstLine="200" w:firstLineChars="200"/>
    </w:pPr>
    <w:rPr>
      <w:rFonts w:cs="Times New Roman"/>
    </w:rPr>
  </w:style>
  <w:style w:type="paragraph" w:customStyle="1" w:styleId="23">
    <w:name w:val="列出段落3"/>
    <w:basedOn w:val="1"/>
    <w:qFormat/>
    <w:uiPriority w:val="0"/>
    <w:pPr>
      <w:ind w:firstLine="420" w:firstLineChars="200"/>
    </w:pPr>
    <w:rPr>
      <w:rFonts w:ascii="Times New Roman" w:hAnsi="Times New Roman" w:cs="Times New Roman"/>
      <w:szCs w:val="24"/>
    </w:rPr>
  </w:style>
  <w:style w:type="paragraph" w:customStyle="1" w:styleId="24">
    <w:name w:val="p0"/>
    <w:basedOn w:val="1"/>
    <w:uiPriority w:val="0"/>
    <w:pPr>
      <w:widowControl/>
    </w:pPr>
    <w:rPr>
      <w:rFonts w:cs="宋体"/>
      <w:kern w:val="0"/>
      <w:szCs w:val="21"/>
    </w:rPr>
  </w:style>
  <w:style w:type="character" w:customStyle="1" w:styleId="25">
    <w:name w:val="页眉 Char"/>
    <w:basedOn w:val="13"/>
    <w:link w:val="9"/>
    <w:uiPriority w:val="99"/>
    <w:rPr>
      <w:sz w:val="18"/>
      <w:szCs w:val="18"/>
    </w:rPr>
  </w:style>
  <w:style w:type="character" w:customStyle="1" w:styleId="26">
    <w:name w:val="页脚 Char"/>
    <w:basedOn w:val="13"/>
    <w:link w:val="8"/>
    <w:uiPriority w:val="99"/>
    <w:rPr>
      <w:sz w:val="18"/>
      <w:szCs w:val="18"/>
    </w:rPr>
  </w:style>
  <w:style w:type="character" w:customStyle="1" w:styleId="27">
    <w:name w:val="批注框文本 Char"/>
    <w:basedOn w:val="13"/>
    <w:link w:val="7"/>
    <w:semiHidden/>
    <w:uiPriority w:val="0"/>
    <w:rPr>
      <w:sz w:val="18"/>
      <w:szCs w:val="18"/>
    </w:rPr>
  </w:style>
  <w:style w:type="character" w:customStyle="1" w:styleId="28">
    <w:name w:val="HTML 预设格式 Char"/>
    <w:basedOn w:val="13"/>
    <w:link w:val="11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29">
    <w:name w:val="批注文字 Char"/>
    <w:basedOn w:val="13"/>
    <w:link w:val="6"/>
    <w:semiHidden/>
    <w:uiPriority w:val="0"/>
    <w:rPr>
      <w:rFonts w:ascii="Calibri" w:hAnsi="Calibri" w:eastAsia="宋体" w:cs="Times New Roman"/>
    </w:rPr>
  </w:style>
  <w:style w:type="character" w:customStyle="1" w:styleId="30">
    <w:name w:val="标题 1 Char"/>
    <w:basedOn w:val="13"/>
    <w:link w:val="2"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1">
    <w:name w:val="标题 2 Char"/>
    <w:basedOn w:val="13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2">
    <w:name w:val="标题 3 Char"/>
    <w:basedOn w:val="13"/>
    <w:link w:val="4"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3">
    <w:name w:val="脚注文本 Char"/>
    <w:basedOn w:val="13"/>
    <w:semiHidden/>
    <w:uiPriority w:val="99"/>
    <w:rPr>
      <w:kern w:val="2"/>
      <w:sz w:val="18"/>
      <w:szCs w:val="18"/>
    </w:rPr>
  </w:style>
  <w:style w:type="character" w:customStyle="1" w:styleId="34">
    <w:name w:val="脚注文本 Char1"/>
    <w:basedOn w:val="13"/>
    <w:link w:val="10"/>
    <w:semiHidden/>
    <w:uiPriority w:val="0"/>
    <w:rPr>
      <w:rFonts w:ascii="Times New Roman" w:hAnsi="Times New Roman"/>
      <w:sz w:val="18"/>
      <w:szCs w:val="18"/>
    </w:rPr>
  </w:style>
  <w:style w:type="character" w:customStyle="1" w:styleId="35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6">
    <w:name w:val="文档结构图 Char"/>
    <w:basedOn w:val="13"/>
    <w:link w:val="5"/>
    <w:uiPriority w:val="0"/>
    <w:rPr>
      <w:rFonts w:ascii="宋体"/>
      <w:sz w:val="18"/>
      <w:szCs w:val="18"/>
    </w:rPr>
  </w:style>
  <w:style w:type="character" w:customStyle="1" w:styleId="37">
    <w:name w:val="批注文字 Char1"/>
    <w:basedOn w:val="13"/>
    <w:semiHidden/>
    <w:uiPriority w:val="99"/>
    <w:rPr>
      <w:kern w:val="2"/>
      <w:sz w:val="21"/>
      <w:szCs w:val="22"/>
    </w:rPr>
  </w:style>
  <w:style w:type="character" w:customStyle="1" w:styleId="38">
    <w:name w:val="明显强调1"/>
    <w:basedOn w:val="13"/>
    <w:qFormat/>
    <w:uiPriority w:val="21"/>
    <w:rPr>
      <w:b/>
      <w:bCs/>
      <w:i/>
      <w:iCs/>
      <w:color w:val="4F81BD"/>
    </w:rPr>
  </w:style>
  <w:style w:type="character" w:customStyle="1" w:styleId="39">
    <w:name w:val="文档结构图 Char1"/>
    <w:basedOn w:val="13"/>
    <w:semiHidden/>
    <w:uiPriority w:val="99"/>
    <w:rPr>
      <w:rFonts w:ascii="宋体" w:eastAsia="宋体"/>
      <w:sz w:val="18"/>
      <w:szCs w:val="18"/>
    </w:rPr>
  </w:style>
  <w:style w:type="character" w:customStyle="1" w:styleId="40">
    <w:name w:val="脚注文本 Char2"/>
    <w:basedOn w:val="1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image" Target="media/image1.jpeg"/><Relationship Id="rId1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382</Words>
  <Characters>2184</Characters>
  <Lines>18</Lines>
  <Paragraphs>5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2021-02-02T03:19:00Z</dcterms:created>
  <dc:creator>裴建君2</dc:creator>
  <cp:lastModifiedBy>赵欣媛</cp:lastModifiedBy>
  <cp:lastPrinted>2021-02-02T06:20:00Z</cp:lastPrinted>
  <dcterms:modified xsi:type="dcterms:W3CDTF">2021-11-22T07:58:59Z</dcterms:modified>
  <dc:title>编号：57016 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