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黑体" w:eastAsia="黑体" w:cs="Times New Roman"/>
          <w:sz w:val="30"/>
          <w:szCs w:val="30"/>
          <w:lang w:eastAsia="zh-CN"/>
        </w:rPr>
      </w:pPr>
      <w:r>
        <w:rPr>
          <w:rFonts w:hint="eastAsia" w:ascii="Times New Roman" w:hAnsi="黑体" w:eastAsia="黑体" w:cs="Times New Roman"/>
          <w:sz w:val="30"/>
          <w:szCs w:val="30"/>
          <w:lang w:eastAsia="zh-CN"/>
        </w:rPr>
        <w:t>（十五）</w:t>
      </w:r>
      <w:r>
        <w:rPr>
          <w:rFonts w:ascii="Times New Roman" w:hAnsi="黑体" w:eastAsia="黑体" w:cs="Times New Roman"/>
          <w:sz w:val="30"/>
          <w:szCs w:val="30"/>
        </w:rPr>
        <w:t>办公地址</w:t>
      </w:r>
      <w:r>
        <w:rPr>
          <w:rFonts w:hint="eastAsia" w:ascii="Times New Roman" w:hAnsi="黑体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黑体" w:eastAsia="黑体" w:cs="Times New Roman"/>
          <w:sz w:val="30"/>
          <w:szCs w:val="30"/>
        </w:rPr>
        <w:t>时间</w:t>
      </w:r>
      <w:r>
        <w:rPr>
          <w:rFonts w:hint="eastAsia" w:ascii="Times New Roman" w:hAnsi="黑体" w:eastAsia="黑体" w:cs="Times New Roman"/>
          <w:sz w:val="30"/>
          <w:szCs w:val="30"/>
          <w:lang w:eastAsia="zh-CN"/>
        </w:rPr>
        <w:t>、联系方式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办公地址：云南省昆明市五华区正义路69号国家外汇管理局云南省分局1402室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办公时间：上午8：30—12：00   下午13:30—17:00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联系电话：0871-63212721（资本项目管理处）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（十</w:t>
      </w:r>
      <w:r>
        <w:rPr>
          <w:rFonts w:hint="eastAsia" w:ascii="Times New Roman" w:hAnsi="黑体" w:eastAsia="黑体" w:cs="Times New Roman"/>
          <w:sz w:val="30"/>
          <w:szCs w:val="30"/>
          <w:lang w:eastAsia="zh-CN"/>
        </w:rPr>
        <w:t>六</w:t>
      </w:r>
      <w:r>
        <w:rPr>
          <w:rFonts w:ascii="Times New Roman" w:hAnsi="黑体" w:eastAsia="黑体" w:cs="Times New Roman"/>
          <w:sz w:val="30"/>
          <w:szCs w:val="30"/>
        </w:rPr>
        <w:t>）咨询途径、监督和投诉、公开查询方式等由所在地分局（外汇管理部）另行公布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向各地外汇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Group 1360" o:spid="_x0000_s1027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8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9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30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1" type="#_x0000_t32" style="position:absolute;left:4382;top:7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2" type="#_x0000_t32" style="position:absolute;left:6331;top:9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3" type="#_x0000_t32" style="position:absolute;left:2358;top:9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4" type="#_x0000_t32" style="position:absolute;left:4383;top:8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5" type="#_x0000_t32" style="position:absolute;left:2359;top:9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369" o:spid="_x0000_s1036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7" type="#_x0000_t32" style="position:absolute;left:5893;top:6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71" o:spid="_x0000_s1038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9" type="#_x0000_t34" style="position:absolute;left:6366;top:3154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40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1" type="#_x0000_t32" style="position:absolute;left:5893;top:4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2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3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4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5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6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7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8" type="#_x0000_t32" style="position:absolute;left:3663;top:3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9" type="#_x0000_t32" style="position:absolute;left:1355;top:3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383" o:spid="_x0000_s1050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1" type="#_x0000_t32" style="position:absolute;left:1396;top:1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2" type="#_x0000_t32" style="position:absolute;left:2400;top:2967;height:0;width:1229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3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4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5" type="#_x0000_t32" style="position:absolute;left:1355;top:7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6" type="#_x0000_t32" style="position:absolute;left:3663;top:1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7" type="#_x0000_t32" style="position:absolute;left:3663;top:1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8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9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60" type="#_x0000_t32" style="position:absolute;left:7384;top:1886;flip:x;height:0;width:1537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9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7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3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5">
    <w:name w:val="页眉 Char"/>
    <w:basedOn w:val="13"/>
    <w:link w:val="9"/>
    <w:uiPriority w:val="99"/>
    <w:rPr>
      <w:sz w:val="18"/>
      <w:szCs w:val="18"/>
    </w:rPr>
  </w:style>
  <w:style w:type="character" w:customStyle="1" w:styleId="26">
    <w:name w:val="页脚 Char"/>
    <w:basedOn w:val="13"/>
    <w:link w:val="8"/>
    <w:uiPriority w:val="99"/>
    <w:rPr>
      <w:sz w:val="18"/>
      <w:szCs w:val="18"/>
    </w:rPr>
  </w:style>
  <w:style w:type="character" w:customStyle="1" w:styleId="27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28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0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1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3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4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赵欣媛</cp:lastModifiedBy>
  <cp:lastPrinted>2020-07-02T09:03:00Z</cp:lastPrinted>
  <dcterms:modified xsi:type="dcterms:W3CDTF">2021-11-22T09:57:43Z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