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300"/>
        <w:rPr>
          <w:rFonts w:ascii="Times New Roman" w:hAnsi="Times New Roman" w:eastAsia="黑体" w:cs="Times New Roman"/>
          <w:sz w:val="48"/>
          <w:szCs w:val="48"/>
        </w:rPr>
      </w:pPr>
      <w:r>
        <w:rPr>
          <w:rFonts w:ascii="Times New Roman" w:hAnsi="Times New Roman" w:eastAsia="黑体" w:cs="Times New Roman"/>
          <w:sz w:val="48"/>
          <w:szCs w:val="48"/>
        </w:rPr>
        <w:t>编号：57012</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 1" o:spid="_x0000_s1026" type="#_x0000_t75" style="height:69.75pt;width:87.05pt;rotation:0f;" o:ole="f" fillcolor="#FFFFFF" filled="f" o:preferrelative="t" stroked="f" coordorigin="0,0" coordsize="21600,21600">
            <v:fill on="f" color2="#FFFFFF" focus="0%"/>
            <v:imagedata gain="65536f" blacklevel="0f" gamma="0" o:title="" r:id="rId8"/>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 xml:space="preserve">“资本项目外汇资金结汇核准” </w:t>
      </w: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firstLine="2250" w:firstLineChars="750"/>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charSpace="0"/>
        </w:sectPr>
      </w:pPr>
    </w:p>
    <w:p>
      <w:pPr>
        <w:adjustRightInd w:val="0"/>
        <w:snapToGrid w:val="0"/>
        <w:spacing w:line="360" w:lineRule="auto"/>
        <w:jc w:val="left"/>
        <w:rPr>
          <w:rFonts w:ascii="Times New Roman" w:hAnsi="Times New Roman" w:eastAsia="黑体" w:cs="Times New Roman"/>
          <w:sz w:val="30"/>
          <w:szCs w:val="30"/>
        </w:rPr>
      </w:pPr>
      <w:r>
        <w:rPr>
          <w:rFonts w:ascii="Times New Roman" w:hAnsi="Times New Roman" w:eastAsia="黑体" w:cs="Times New Roman"/>
          <w:sz w:val="30"/>
          <w:szCs w:val="30"/>
        </w:rPr>
        <w:t>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项目名称：资本项目外汇资金结汇核准；</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项目编号：57012；</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本指南适用于“资本项目外汇资金结汇核准”的申请和办理。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《中华人民共和国外汇管理条例》（国务院令第532号）第二十一条：“资本项目外汇收入保留或者卖给经营结汇、售汇业务的金融机构，应当经外汇管理机关批准，但国家规定无需批准的除外”。</w:t>
      </w: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四、金融机构外债结汇核准</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2.《外债统计监测暂行规定》（1987年公布）。</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3.《境内机构借用国际商业贷款管理办法》（〔97〕汇政发字06号）。</w:t>
      </w:r>
    </w:p>
    <w:p>
      <w:pPr>
        <w:widowControl/>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4.《境内外资银行外债管理办法》（国家发展和改革委员会 中国人民银行 中国银行业监督管理委员会令2004年第9号）。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5.《国家外汇管理局关于发布〈外债登记管理办法〉的通知》（汇发〔2013〕19号）。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6</w:t>
      </w:r>
      <w:r>
        <w:rPr>
          <w:rFonts w:ascii="Times New Roman" w:hAnsi="Times New Roman" w:eastAsia="仿宋_GB2312" w:cs="Times New Roman"/>
          <w:sz w:val="30"/>
          <w:szCs w:val="30"/>
        </w:rPr>
        <w:t>.《国家外汇管理局关于废止和修改涉及注册资本登记制度改革相关规范性文件的通知》（汇发〔2015〕20号）。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7</w:t>
      </w:r>
      <w:r>
        <w:rPr>
          <w:rFonts w:ascii="Times New Roman" w:hAnsi="Times New Roman" w:eastAsia="仿宋_GB2312" w:cs="Times New Roman"/>
          <w:sz w:val="30"/>
          <w:szCs w:val="30"/>
        </w:rPr>
        <w:t>.《中国人民银行关于全口径跨境融资宏观审慎管理有关事宜的通知》（银发〔2017〕9号）。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hint="eastAsia" w:ascii="Times New Roman" w:hAnsi="Times New Roman" w:eastAsia="仿宋_GB2312" w:cs="Times New Roman"/>
          <w:sz w:val="30"/>
          <w:szCs w:val="30"/>
        </w:rPr>
        <w:t>8</w:t>
      </w:r>
      <w:r>
        <w:rPr>
          <w:rFonts w:ascii="Times New Roman" w:hAnsi="Times New Roman" w:eastAsia="仿宋_GB2312" w:cs="Times New Roman"/>
          <w:sz w:val="30"/>
          <w:szCs w:val="30"/>
        </w:rPr>
        <w:t>．其他相关法规。</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申请人所在地外汇局。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国家外汇管理局或申请人所在地外汇分局。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1．金融机构融入资金可用于补充资本金，服务实体经济发展，并符合国家产业宏观调控方向，经国家外汇管理局批准，金融机构融入外汇资金可结汇使用。</w:t>
      </w:r>
    </w:p>
    <w:p>
      <w:pPr>
        <w:adjustRightInd w:val="0"/>
        <w:snapToGrid w:val="0"/>
        <w:spacing w:line="360" w:lineRule="auto"/>
        <w:ind w:firstLine="450" w:firstLineChars="150"/>
        <w:rPr>
          <w:rFonts w:ascii="Times New Roman" w:hAnsi="Times New Roman" w:eastAsia="仿宋_GB2312" w:cs="Times New Roman"/>
          <w:sz w:val="30"/>
          <w:szCs w:val="30"/>
        </w:rPr>
      </w:pPr>
      <w:r>
        <w:rPr>
          <w:rFonts w:ascii="Times New Roman" w:hAnsi="Times New Roman" w:eastAsia="仿宋_GB2312" w:cs="Times New Roman"/>
          <w:sz w:val="30"/>
          <w:szCs w:val="30"/>
        </w:rPr>
        <w:t>2．禁止性要求：如符合上述条件，不存在不予许可的情况。</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（六）</w:t>
      </w:r>
      <w:r>
        <w:rPr>
          <w:rFonts w:hint="eastAsia" w:ascii="Times New Roman" w:hAnsi="Times New Roman" w:eastAsia="黑体" w:cs="Times New Roman"/>
          <w:sz w:val="30"/>
          <w:szCs w:val="30"/>
        </w:rPr>
        <w:t>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2410"/>
        <w:gridCol w:w="2127"/>
        <w:gridCol w:w="567"/>
        <w:gridCol w:w="992"/>
        <w:gridCol w:w="567"/>
        <w:gridCol w:w="13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33"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2410"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212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992"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567"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1326" w:type="dxa"/>
            <w:vAlign w:val="center"/>
          </w:tcPr>
          <w:p>
            <w:pPr>
              <w:ind w:right="300"/>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3"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sz w:val="24"/>
                <w:szCs w:val="24"/>
              </w:rPr>
              <w:t>书面申请</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trPr>
        <w:tc>
          <w:tcPr>
            <w:tcW w:w="533" w:type="dxa"/>
            <w:vAlign w:val="center"/>
          </w:tcPr>
          <w:p>
            <w:pPr>
              <w:ind w:right="300"/>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2410" w:type="dxa"/>
            <w:vAlign w:val="center"/>
          </w:tcPr>
          <w:p>
            <w:pPr>
              <w:rPr>
                <w:rFonts w:ascii="Times New Roman" w:hAnsi="Times New Roman" w:eastAsia="仿宋_GB2312" w:cs="Times New Roman"/>
                <w:sz w:val="24"/>
                <w:szCs w:val="24"/>
              </w:rPr>
            </w:pPr>
            <w:r>
              <w:rPr>
                <w:rFonts w:hint="eastAsia" w:ascii="Times New Roman" w:hAnsi="Times New Roman" w:eastAsia="仿宋_GB2312" w:cs="Times New Roman"/>
                <w:color w:val="000000"/>
                <w:sz w:val="24"/>
                <w:szCs w:val="24"/>
              </w:rPr>
              <w:t>资金需结汇使用相关真实性证明</w:t>
            </w:r>
            <w:r>
              <w:rPr>
                <w:rFonts w:ascii="Times New Roman" w:hAnsi="Times New Roman" w:eastAsia="仿宋_GB2312" w:cs="Times New Roman"/>
                <w:color w:val="000000"/>
                <w:sz w:val="24"/>
                <w:szCs w:val="24"/>
              </w:rPr>
              <w:t>材料</w:t>
            </w:r>
          </w:p>
        </w:tc>
        <w:tc>
          <w:tcPr>
            <w:tcW w:w="212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567"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992"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567" w:type="dxa"/>
            <w:vAlign w:val="center"/>
          </w:tcPr>
          <w:p>
            <w:pPr>
              <w:rPr>
                <w:rFonts w:ascii="Times New Roman" w:hAnsi="Times New Roman" w:eastAsia="仿宋_GB2312" w:cs="Times New Roman"/>
                <w:sz w:val="24"/>
                <w:szCs w:val="24"/>
              </w:rPr>
            </w:pPr>
          </w:p>
        </w:tc>
        <w:tc>
          <w:tcPr>
            <w:tcW w:w="1326" w:type="dxa"/>
            <w:vAlign w:val="center"/>
          </w:tcPr>
          <w:p>
            <w:pPr>
              <w:rPr>
                <w:rFonts w:ascii="Times New Roman" w:hAnsi="Times New Roman" w:eastAsia="仿宋_GB2312" w:cs="Times New Roman"/>
                <w:sz w:val="24"/>
                <w:szCs w:val="24"/>
              </w:rPr>
            </w:pPr>
            <w:r>
              <w:rPr>
                <w:rFonts w:ascii="Times New Roman" w:hAnsi="Times New Roman" w:eastAsia="仿宋_GB2312" w:cs="Times New Roman"/>
                <w:sz w:val="24"/>
                <w:szCs w:val="24"/>
              </w:rPr>
              <w:t>验原件，留存加盖公章的复印件</w:t>
            </w:r>
          </w:p>
        </w:tc>
      </w:tr>
    </w:tbl>
    <w:p>
      <w:pPr>
        <w:adjustRightInd w:val="0"/>
        <w:snapToGrid w:val="0"/>
        <w:spacing w:line="360" w:lineRule="auto"/>
        <w:ind w:firstLine="450" w:firstLineChars="150"/>
        <w:rPr>
          <w:rFonts w:ascii="Times New Roman" w:hAnsi="Times New Roman" w:eastAsia="黑体" w:cs="Times New Roman"/>
          <w:sz w:val="30"/>
          <w:szCs w:val="30"/>
        </w:rPr>
      </w:pP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申请人可通过所在地外汇局业务窗口提交材料</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2.决定是否予以受理；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rPr>
          <w:rFonts w:ascii="Times New Roman" w:hAnsi="Times New Roman" w:eastAsia="仿宋_GB2312" w:cs="Times New Roman"/>
          <w:sz w:val="30"/>
          <w:szCs w:val="30"/>
        </w:rPr>
      </w:pPr>
      <w:r>
        <w:rPr>
          <w:rFonts w:ascii="Times New Roman" w:hAnsi="Times New Roman" w:eastAsia="仿宋_GB2312" w:cs="Times New Roman"/>
          <w:sz w:val="30"/>
          <w:szCs w:val="30"/>
        </w:rPr>
        <w:t xml:space="preserve">    一般程序：申请、告知补正、受理、审核、办理登记或不予许可、出具相关业务办理凭证。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出具相关业务办理凭证。</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通过现场告知或电话等方式通知申请人，并通过现场领取或通过邮寄等方式将结果送达。</w:t>
      </w:r>
    </w:p>
    <w:p>
      <w:pPr>
        <w:adjustRightInd w:val="0"/>
        <w:snapToGrid w:val="0"/>
        <w:spacing w:line="360" w:lineRule="auto"/>
        <w:ind w:firstLine="450" w:firstLineChars="15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360" w:lineRule="auto"/>
        <w:ind w:firstLine="600"/>
        <w:rPr>
          <w:rFonts w:hint="eastAsia" w:ascii="Times New Roman" w:hAnsi="黑体" w:eastAsia="黑体" w:cs="Times New Roman"/>
          <w:sz w:val="30"/>
          <w:szCs w:val="30"/>
          <w:lang w:eastAsia="zh-CN"/>
        </w:rPr>
      </w:pPr>
      <w:r>
        <w:rPr>
          <w:rFonts w:hint="eastAsia" w:ascii="Times New Roman" w:hAnsi="黑体" w:eastAsia="黑体" w:cs="Times New Roman"/>
          <w:sz w:val="30"/>
          <w:szCs w:val="30"/>
          <w:lang w:eastAsia="zh-CN"/>
        </w:rPr>
        <w:t>（十五）</w:t>
      </w:r>
      <w:r>
        <w:rPr>
          <w:rFonts w:ascii="Times New Roman" w:hAnsi="黑体" w:eastAsia="黑体" w:cs="Times New Roman"/>
          <w:sz w:val="30"/>
          <w:szCs w:val="30"/>
        </w:rPr>
        <w:t>办公地址</w:t>
      </w:r>
      <w:r>
        <w:rPr>
          <w:rFonts w:hint="eastAsia" w:ascii="Times New Roman" w:hAnsi="黑体" w:eastAsia="黑体" w:cs="Times New Roman"/>
          <w:sz w:val="30"/>
          <w:szCs w:val="30"/>
          <w:lang w:eastAsia="zh-CN"/>
        </w:rPr>
        <w:t>、</w:t>
      </w:r>
      <w:r>
        <w:rPr>
          <w:rFonts w:ascii="Times New Roman" w:hAnsi="黑体" w:eastAsia="黑体" w:cs="Times New Roman"/>
          <w:sz w:val="30"/>
          <w:szCs w:val="30"/>
        </w:rPr>
        <w:t>时间、</w:t>
      </w:r>
      <w:r>
        <w:rPr>
          <w:rFonts w:hint="eastAsia" w:ascii="Times New Roman" w:hAnsi="黑体" w:eastAsia="黑体" w:cs="Times New Roman"/>
          <w:sz w:val="30"/>
          <w:szCs w:val="30"/>
          <w:lang w:eastAsia="zh-CN"/>
        </w:rPr>
        <w:t>联系方式</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360" w:lineRule="auto"/>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360" w:lineRule="auto"/>
        <w:ind w:firstLine="6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360" w:lineRule="auto"/>
        <w:ind w:firstLine="600"/>
        <w:rPr>
          <w:rFonts w:ascii="Times New Roman" w:hAnsi="Times New Roman" w:eastAsia="黑体" w:cs="Times New Roman"/>
          <w:sz w:val="30"/>
          <w:szCs w:val="30"/>
        </w:rPr>
      </w:pPr>
      <w:bookmarkStart w:id="0" w:name="_GoBack"/>
      <w:bookmarkEnd w:id="0"/>
      <w:r>
        <w:rPr>
          <w:rFonts w:ascii="Times New Roman" w:hAnsi="黑体" w:eastAsia="黑体" w:cs="Times New Roman"/>
          <w:sz w:val="30"/>
          <w:szCs w:val="30"/>
        </w:rPr>
        <w:t>（十</w:t>
      </w:r>
      <w:r>
        <w:rPr>
          <w:rFonts w:hint="eastAsia" w:ascii="Times New Roman" w:hAnsi="黑体" w:eastAsia="黑体" w:cs="Times New Roman"/>
          <w:sz w:val="30"/>
          <w:szCs w:val="30"/>
          <w:lang w:eastAsia="zh-CN"/>
        </w:rPr>
        <w:t>六</w:t>
      </w:r>
      <w:r>
        <w:rPr>
          <w:rFonts w:ascii="Times New Roman" w:hAnsi="黑体" w:eastAsia="黑体" w:cs="Times New Roman"/>
          <w:sz w:val="30"/>
          <w:szCs w:val="30"/>
        </w:rPr>
        <w:t>）咨询途径、监督和投诉、公开查询方式等由所在地分局（外汇管理部）另行公布</w:t>
      </w:r>
    </w:p>
    <w:p>
      <w:pPr>
        <w:adjustRightInd w:val="0"/>
        <w:snapToGrid w:val="0"/>
        <w:spacing w:line="360" w:lineRule="auto"/>
        <w:ind w:firstLine="600"/>
        <w:rPr>
          <w:rFonts w:ascii="Times New Roman" w:hAnsi="Times New Roman" w:eastAsia="仿宋_GB2312" w:cs="Times New Roman"/>
          <w:sz w:val="30"/>
          <w:szCs w:val="30"/>
        </w:rPr>
        <w:sectPr>
          <w:footerReference r:id="rId5" w:type="default"/>
          <w:pgSz w:w="11906" w:h="16838"/>
          <w:pgMar w:top="1440" w:right="1800" w:bottom="1440" w:left="1800" w:header="851" w:footer="992" w:gutter="0"/>
          <w:cols w:space="720" w:num="1"/>
          <w:docGrid w:type="lines" w:linePitch="312" w:charSpace="0"/>
        </w:sectPr>
      </w:pPr>
      <w:r>
        <w:rPr>
          <w:rFonts w:ascii="Times New Roman" w:hAnsi="Times New Roman" w:eastAsia="仿宋_GB2312" w:cs="Times New Roman"/>
          <w:sz w:val="30"/>
          <w:szCs w:val="30"/>
        </w:rPr>
        <w:t>向各地外汇局进行咨询、进程查询、监督和投诉等可通过各地外汇局官方互联网站的相应栏目进行。网址可通过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附录一</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rPr>
          <w:rFonts w:ascii="Times New Roman" w:hAnsi="Times New Roman" w:eastAsia="仿宋_GB2312" w:cs="Times New Roman"/>
          <w:sz w:val="30"/>
          <w:szCs w:val="30"/>
        </w:rPr>
      </w:pPr>
      <w:r>
        <w:rPr>
          <w:rFonts w:ascii="Times New Roman" w:hAnsi="Times New Roman" w:eastAsia="仿宋_GB2312" w:cs="Times New Roman"/>
          <w:kern w:val="2"/>
          <w:sz w:val="30"/>
          <w:szCs w:val="30"/>
          <w:lang w:val="en-US" w:eastAsia="zh-CN" w:bidi="ar-SA"/>
        </w:rPr>
        <w:pict>
          <v:group id="Group 1394" o:spid="_x0000_s1027" style="position:absolute;left:0;margin-left:-12.35pt;margin-top:8.4pt;height:586.05pt;width:446.05pt;rotation:0f;z-index:251658240;" coordorigin="1347,3000" coordsize="8921,11721">
            <o:lock v:ext="edit" position="f" selection="f" grouping="f" rotation="f" cropping="f" text="f" aspectratio="f"/>
            <v:rect id="Rectangle 1395"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1396"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1397"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1398" o:spid="_x0000_s1031" type="#_x0000_t32" style="position:absolute;left:5729;top:10693;height:626;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399" o:spid="_x0000_s1032" type="#_x0000_t32" style="position:absolute;left:7678;top:12568;height:1095;width:1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0" o:spid="_x0000_s1033" type="#_x0000_t32" style="position:absolute;left:3705;top:12568;height:1035;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01" o:spid="_x0000_s1034" type="#_x0000_t32" style="position:absolute;left:5730;top:11853;height:715;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02" o:spid="_x0000_s1035" type="#_x0000_t32" style="position:absolute;left:3706;top:12568;height:0;width:3972;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03" o:spid="_x0000_s1036" style="position:absolute;left:1347;top:3000;height:7693;width:8921;rotation:0f;" coordorigin="1347,3000" coordsize="8921,7693">
              <o:lock v:ext="edit" position="f" selection="f" grouping="f" rotation="f" cropping="f" text="f" aspectratio="f"/>
              <v:shape id="AutoShape 1404" o:spid="_x0000_s1037" type="#_x0000_t32" style="position:absolute;left:7240;top:9566;height:60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Group 1405" o:spid="_x0000_s1038" style="position:absolute;left:1347;top:3000;height:7693;width:8921;rotation:0f;" coordorigin="1347,3000" coordsize="8921,7693">
                <o:lock v:ext="edit" position="f" selection="f" grouping="f" rotation="f" cropping="f" text="f" aspectratio="f"/>
                <v:shape id="AutoShape 1406" o:spid="_x0000_s1039" type="#_x0000_t34" style="position:absolute;left:7714;top:6155;height:1285;width:3823;rotation:17694720f;" o:ole="f" o:connectortype="elbow"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407"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w:t>
                        </w:r>
                      </w:p>
                      <w:p>
                        <w:pPr>
                          <w:jc w:val="center"/>
                        </w:pPr>
                        <w:r>
                          <w:rPr>
                            <w:rFonts w:hint="eastAsia"/>
                          </w:rPr>
                          <w:t>材料</w:t>
                        </w:r>
                      </w:p>
                    </w:txbxContent>
                  </v:textbox>
                </v:shape>
                <v:shape id="AutoShape 1408" o:spid="_x0000_s1041" type="#_x0000_t32" style="position:absolute;left:7240;top:7472;height:378;width:0;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09"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1410"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p>
                      <w:p>
                        <w:pPr>
                          <w:jc w:val="center"/>
                        </w:pPr>
                        <w:r>
                          <w:rPr>
                            <w:rFonts w:hint="eastAsia"/>
                          </w:rPr>
                          <w:t>申请人补充材料</w:t>
                        </w:r>
                      </w:p>
                    </w:txbxContent>
                  </v:textbox>
                </v:shape>
                <v:rect id="Rectangle 1411"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1412"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w:t>
                        </w:r>
                      </w:p>
                      <w:p>
                        <w:pPr>
                          <w:jc w:val="center"/>
                        </w:pPr>
                        <w:r>
                          <w:rPr>
                            <w:rFonts w:hint="eastAsia"/>
                          </w:rPr>
                          <w:t>一次性告知补正材料，</w:t>
                        </w:r>
                      </w:p>
                      <w:p>
                        <w:pPr>
                          <w:jc w:val="center"/>
                        </w:pPr>
                        <w:r>
                          <w:rPr>
                            <w:rFonts w:hint="eastAsia"/>
                          </w:rPr>
                          <w:t>出具行政审批补正材料通知书</w:t>
                        </w:r>
                      </w:p>
                      <w:p/>
                    </w:txbxContent>
                  </v:textbox>
                </v:rect>
                <v:shape id="AutoShape 1413" o:spid="_x0000_s1046" type="#_x0000_t116" style="position:absolute;left:5913;top:4337;height:1423;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Group 1414" o:spid="_x0000_s1047" style="position:absolute;left:1347;top:3000;height:7424;width:4594;rotation:0f;" coordorigin="1347,3000" coordsize="4594,7424">
                  <o:lock v:ext="edit" position="f" selection="f" grouping="f" rotation="f" cropping="f" text="f" aspectratio="f"/>
                  <v:shape id="AutoShape 1415" o:spid="_x0000_s1048" type="#_x0000_t32" style="position:absolute;left:5010;top:6910;height:0;width:93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6" o:spid="_x0000_s1049" type="#_x0000_t32" style="position:absolute;left:2702;top:6986;height:3437;width:1;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Group 1417" o:spid="_x0000_s1050" style="position:absolute;left:1347;top:3000;height:3986;width:3629;rotation:0f;" coordorigin="1347,3000" coordsize="3629,3986">
                    <o:lock v:ext="edit" position="f" selection="f" grouping="f" rotation="f" cropping="f" text="f" aspectratio="f"/>
                    <v:shape id="AutoShape 1418" o:spid="_x0000_s1051" type="#_x0000_t32" style="position:absolute;left:2743;top:4172;height:764;width:1;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19" o:spid="_x0000_s1052" type="#_x0000_t32" style="position:absolute;left:3747;top:5967;height:0;width:1229;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0" o:spid="_x0000_s1053" type="#_x0000_t4" style="position:absolute;left:1347;top:4936;height:2050;width:2773;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1421"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1422" o:spid="_x0000_s1055" type="#_x0000_t32" style="position:absolute;left:2702;top:10423;height:1;width:121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423" o:spid="_x0000_s1056" type="#_x0000_t32" style="position:absolute;left:5010;top:4999;height:1921;width:0;rotation:0f;" o:ole="f" o:connectortype="straight"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424" o:spid="_x0000_s1057" type="#_x0000_t32" style="position:absolute;left:5010;top:4989;height:1;width:903;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1425"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1426"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1427" o:spid="_x0000_s1060" type="#_x0000_t32" style="position:absolute;left:8731;top:4886;flip:x;height:0;width:1537;rotation:0f;" o:ole="f" o:connectortype="straight"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pPr>
      <w:r>
        <w:rPr>
          <w:rFonts w:ascii="Times New Roman" w:hAnsi="Times New Roman" w:eastAsia="仿宋_GB2312" w:cs="Times New Roman"/>
          <w:sz w:val="30"/>
          <w:szCs w:val="30"/>
        </w:rPr>
        <w:t>附录二</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adjustRightInd w:val="0"/>
        <w:snapToGrid w:val="0"/>
        <w:spacing w:line="360" w:lineRule="auto"/>
        <w:jc w:val="center"/>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1．问：不具备吸存放贷业务资格的非存款类金融机构外债资金是否可以意愿结汇？</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答：不具备吸存放贷业务资格的非存款类金融机构外债资金，用于服务实体经济发展，并符合国家产业宏观调控方向，经所在地外汇分局批准可结汇使用。</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2．问：银行的外债可以结汇吗？</w:t>
      </w:r>
    </w:p>
    <w:p>
      <w:pPr>
        <w:adjustRightInd w:val="0"/>
        <w:snapToGrid w:val="0"/>
        <w:spacing w:line="360" w:lineRule="auto"/>
        <w:ind w:firstLine="600" w:firstLineChars="200"/>
        <w:rPr>
          <w:rFonts w:ascii="Times New Roman" w:hAnsi="Times New Roman" w:eastAsia="黑体" w:cs="Times New Roman"/>
          <w:sz w:val="48"/>
          <w:szCs w:val="48"/>
        </w:rPr>
      </w:pPr>
      <w:r>
        <w:rPr>
          <w:rFonts w:ascii="Times New Roman" w:hAnsi="Times New Roman" w:eastAsia="仿宋_GB2312" w:cs="Times New Roman"/>
          <w:sz w:val="30"/>
          <w:szCs w:val="30"/>
        </w:rPr>
        <w:t>答：服务实体经济发展，并符合国家产业宏观调控方向，经国家外汇管理局批准，金融机构融入外汇资金可结汇使用。</w:t>
      </w:r>
    </w:p>
    <w:sectPr>
      <w:footerReference r:id="rId6"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Calibri">
    <w:altName w:val="Century Gothic"/>
    <w:panose1 w:val="020F0502020204030204"/>
    <w:charset w:val="00"/>
    <w:family w:val="auto"/>
    <w:pitch w:val="default"/>
    <w:sig w:usb0="E00002FF" w:usb1="4000ACFF" w:usb2="00000001" w:usb3="00000000" w:csb0="2000019F" w:csb1="00000000"/>
  </w:font>
  <w:font w:name="Cambria">
    <w:altName w:val="Palatino Linotype"/>
    <w:panose1 w:val="02040503050406030204"/>
    <w:charset w:val="00"/>
    <w:family w:val="auto"/>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Century Gothic">
    <w:panose1 w:val="020B0502020202020204"/>
    <w:charset w:val="00"/>
    <w:family w:val="auto"/>
    <w:pitch w:val="default"/>
    <w:sig w:usb0="00000287" w:usb1="00000000" w:usb2="00000000" w:usb3="00000000" w:csb0="2000009F" w:csb1="DFD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5</w:t>
    </w:r>
    <w:r>
      <w:rPr>
        <w:lang w:val="zh-CN"/>
      </w:rPr>
      <w:fldChar w:fldCharType="end"/>
    </w:r>
  </w:p>
  <w:p>
    <w:pPr>
      <w:pStyle w:val="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7</w:t>
    </w:r>
    <w: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o:shapelayout v:ext="edit">
      <o:rules v:ext="edit">
        <o:r id="V:Rule1" type="connector" idref="#AutoShape 1398"/>
        <o:r id="V:Rule2" type="connector" idref="#AutoShape 1399"/>
        <o:r id="V:Rule3" type="connector" idref="#AutoShape 1400"/>
        <o:r id="V:Rule4" type="connector" idref="#AutoShape 1401"/>
        <o:r id="V:Rule5" type="connector" idref="#AutoShape 1402"/>
        <o:r id="V:Rule6" type="connector" idref="#AutoShape 1404"/>
        <o:r id="V:Rule7" type="connector" idref="#AutoShape 1406"/>
        <o:r id="V:Rule8" type="connector" idref="#AutoShape 1408"/>
        <o:r id="V:Rule9" type="connector" idref="#AutoShape 1415"/>
        <o:r id="V:Rule10" type="connector" idref="#AutoShape 1416"/>
        <o:r id="V:Rule11" type="connector" idref="#AutoShape 1418"/>
        <o:r id="V:Rule12" type="connector" idref="#AutoShape 1419"/>
        <o:r id="V:Rule13" type="connector" idref="#AutoShape 1422"/>
        <o:r id="V:Rule14" type="connector" idref="#AutoShape 1423"/>
        <o:r id="V:Rule15" type="connector" idref="#AutoShape 1424"/>
        <o:r id="V:Rule16" type="connector" idref="#AutoShape 142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qFormat="1"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0"/>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2"/>
    <w:qFormat/>
    <w:uiPriority w:val="9"/>
    <w:pPr>
      <w:ind w:right="300"/>
      <w:outlineLvl w:val="2"/>
    </w:pPr>
    <w:rPr>
      <w:rFonts w:ascii="仿宋_GB2312" w:hAnsi="Calibri" w:eastAsia="仿宋_GB2312" w:cs="Times New Roman"/>
      <w:sz w:val="30"/>
      <w:szCs w:val="30"/>
    </w:rPr>
  </w:style>
  <w:style w:type="character" w:default="1" w:styleId="13">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29"/>
    <w:unhideWhenUsed/>
    <w:qFormat/>
    <w:uiPriority w:val="99"/>
    <w:pPr>
      <w:jc w:val="left"/>
    </w:pPr>
    <w:rPr>
      <w:rFonts w:ascii="Calibri" w:hAnsi="Calibri" w:eastAsia="宋体" w:cs="Times New Roman"/>
    </w:rPr>
  </w:style>
  <w:style w:type="paragraph" w:styleId="7">
    <w:name w:val="Balloon Text"/>
    <w:basedOn w:val="1"/>
    <w:link w:val="27"/>
    <w:unhideWhenUsed/>
    <w:uiPriority w:val="0"/>
    <w:rPr>
      <w:sz w:val="18"/>
      <w:szCs w:val="18"/>
    </w:rPr>
  </w:style>
  <w:style w:type="paragraph" w:styleId="8">
    <w:name w:val="footer"/>
    <w:basedOn w:val="1"/>
    <w:link w:val="26"/>
    <w:unhideWhenUsed/>
    <w:uiPriority w:val="99"/>
    <w:pPr>
      <w:tabs>
        <w:tab w:val="center" w:pos="4153"/>
        <w:tab w:val="right" w:pos="8306"/>
      </w:tabs>
      <w:snapToGrid w:val="0"/>
      <w:jc w:val="left"/>
    </w:pPr>
    <w:rPr>
      <w:sz w:val="18"/>
      <w:szCs w:val="18"/>
    </w:rPr>
  </w:style>
  <w:style w:type="paragraph" w:styleId="9">
    <w:name w:val="header"/>
    <w:basedOn w:val="1"/>
    <w:link w:val="25"/>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rFonts w:ascii="Times New Roman" w:hAnsi="Times New Roman"/>
      <w:sz w:val="18"/>
      <w:szCs w:val="18"/>
    </w:rPr>
  </w:style>
  <w:style w:type="paragraph" w:styleId="11">
    <w:name w:val="HTML Preformatted"/>
    <w:basedOn w:val="1"/>
    <w:link w:val="28"/>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4">
    <w:name w:val="Hyperlink"/>
    <w:basedOn w:val="13"/>
    <w:unhideWhenUsed/>
    <w:uiPriority w:val="99"/>
    <w:rPr>
      <w:rFonts w:hint="default" w:ascii="ˎ̥" w:hAnsi="ˎ̥"/>
      <w:color w:val="0453CC"/>
      <w:sz w:val="20"/>
      <w:szCs w:val="20"/>
      <w:u w:val="none"/>
    </w:rPr>
  </w:style>
  <w:style w:type="character" w:styleId="15">
    <w:name w:val="annotation reference"/>
    <w:basedOn w:val="13"/>
    <w:semiHidden/>
    <w:unhideWhenUsed/>
    <w:qFormat/>
    <w:uiPriority w:val="0"/>
    <w:rPr>
      <w:sz w:val="21"/>
      <w:szCs w:val="21"/>
    </w:rPr>
  </w:style>
  <w:style w:type="character" w:styleId="16">
    <w:name w:val="footnote reference"/>
    <w:unhideWhenUsed/>
    <w:qFormat/>
    <w:uiPriority w:val="0"/>
    <w:rPr>
      <w:rFonts w:ascii="Times New Roman" w:hAnsi="Times New Roman" w:cs="Times New Roman"/>
      <w:vertAlign w:val="superscript"/>
    </w:rPr>
  </w:style>
  <w:style w:type="paragraph" w:customStyle="1" w:styleId="17">
    <w:name w:val="List Paragraph"/>
    <w:basedOn w:val="1"/>
    <w:qFormat/>
    <w:uiPriority w:val="34"/>
    <w:pPr>
      <w:ind w:firstLine="420" w:firstLineChars="200"/>
    </w:pPr>
  </w:style>
  <w:style w:type="paragraph" w:customStyle="1" w:styleId="18">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19">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0">
    <w:name w:val="Revision"/>
    <w:hidden/>
    <w:semiHidden/>
    <w:qFormat/>
    <w:uiPriority w:val="99"/>
    <w:rPr>
      <w:rFonts w:ascii="Calibri" w:hAnsi="Calibri" w:eastAsia="宋体" w:cs="黑体"/>
      <w:kern w:val="2"/>
      <w:sz w:val="21"/>
      <w:szCs w:val="22"/>
      <w:lang w:val="en-US" w:eastAsia="zh-CN" w:bidi="ar-SA"/>
    </w:rPr>
  </w:style>
  <w:style w:type="paragraph" w:customStyle="1" w:styleId="21">
    <w:name w:val="列出段落1"/>
    <w:basedOn w:val="1"/>
    <w:qFormat/>
    <w:uiPriority w:val="34"/>
    <w:pPr>
      <w:ind w:firstLine="420" w:firstLineChars="200"/>
    </w:pPr>
    <w:rPr>
      <w:rFonts w:ascii="Calibri" w:hAnsi="Calibri" w:eastAsia="宋体" w:cs="Times New Roman"/>
    </w:rPr>
  </w:style>
  <w:style w:type="paragraph" w:customStyle="1" w:styleId="22">
    <w:name w:val="列出段落4"/>
    <w:basedOn w:val="1"/>
    <w:qFormat/>
    <w:uiPriority w:val="0"/>
    <w:pPr>
      <w:ind w:firstLine="200" w:firstLineChars="200"/>
    </w:pPr>
    <w:rPr>
      <w:rFonts w:ascii="Calibri" w:hAnsi="Calibri" w:eastAsia="宋体" w:cs="Times New Roman"/>
    </w:rPr>
  </w:style>
  <w:style w:type="paragraph" w:customStyle="1" w:styleId="23">
    <w:name w:val="列出段落3"/>
    <w:basedOn w:val="1"/>
    <w:qFormat/>
    <w:uiPriority w:val="0"/>
    <w:pPr>
      <w:ind w:firstLine="420" w:firstLineChars="200"/>
    </w:pPr>
    <w:rPr>
      <w:rFonts w:ascii="Times New Roman" w:hAnsi="Times New Roman" w:eastAsia="宋体" w:cs="Times New Roman"/>
      <w:szCs w:val="24"/>
    </w:rPr>
  </w:style>
  <w:style w:type="paragraph" w:customStyle="1" w:styleId="24">
    <w:name w:val="p0"/>
    <w:basedOn w:val="1"/>
    <w:qFormat/>
    <w:uiPriority w:val="0"/>
    <w:pPr>
      <w:widowControl/>
    </w:pPr>
    <w:rPr>
      <w:rFonts w:ascii="Calibri" w:hAnsi="Calibri" w:eastAsia="宋体" w:cs="宋体"/>
      <w:kern w:val="0"/>
      <w:szCs w:val="21"/>
    </w:rPr>
  </w:style>
  <w:style w:type="character" w:customStyle="1" w:styleId="25">
    <w:name w:val="页眉 Char"/>
    <w:basedOn w:val="13"/>
    <w:link w:val="9"/>
    <w:uiPriority w:val="99"/>
    <w:rPr>
      <w:sz w:val="18"/>
      <w:szCs w:val="18"/>
    </w:rPr>
  </w:style>
  <w:style w:type="character" w:customStyle="1" w:styleId="26">
    <w:name w:val="页脚 Char"/>
    <w:basedOn w:val="13"/>
    <w:link w:val="8"/>
    <w:uiPriority w:val="99"/>
    <w:rPr>
      <w:sz w:val="18"/>
      <w:szCs w:val="18"/>
    </w:rPr>
  </w:style>
  <w:style w:type="character" w:customStyle="1" w:styleId="27">
    <w:name w:val="批注框文本 Char"/>
    <w:basedOn w:val="13"/>
    <w:link w:val="7"/>
    <w:semiHidden/>
    <w:uiPriority w:val="0"/>
    <w:rPr>
      <w:sz w:val="18"/>
      <w:szCs w:val="18"/>
    </w:rPr>
  </w:style>
  <w:style w:type="character" w:customStyle="1" w:styleId="28">
    <w:name w:val="HTML 预设格式 Char"/>
    <w:basedOn w:val="13"/>
    <w:link w:val="11"/>
    <w:uiPriority w:val="99"/>
    <w:rPr>
      <w:rFonts w:ascii="宋体" w:hAnsi="宋体" w:eastAsia="宋体" w:cs="宋体"/>
      <w:kern w:val="0"/>
      <w:sz w:val="24"/>
      <w:szCs w:val="24"/>
    </w:rPr>
  </w:style>
  <w:style w:type="character" w:customStyle="1" w:styleId="29">
    <w:name w:val="批注文字 Char"/>
    <w:basedOn w:val="13"/>
    <w:link w:val="6"/>
    <w:semiHidden/>
    <w:qFormat/>
    <w:uiPriority w:val="0"/>
    <w:rPr>
      <w:rFonts w:ascii="Calibri" w:hAnsi="Calibri" w:eastAsia="宋体" w:cs="Times New Roman"/>
    </w:rPr>
  </w:style>
  <w:style w:type="character" w:customStyle="1" w:styleId="30">
    <w:name w:val="标题 1 Char"/>
    <w:basedOn w:val="13"/>
    <w:link w:val="2"/>
    <w:qFormat/>
    <w:uiPriority w:val="9"/>
    <w:rPr>
      <w:rFonts w:ascii="黑体" w:hAnsi="黑体" w:eastAsia="黑体" w:cs="宋体"/>
      <w:color w:val="000000"/>
      <w:kern w:val="0"/>
      <w:sz w:val="30"/>
      <w:szCs w:val="30"/>
    </w:rPr>
  </w:style>
  <w:style w:type="character" w:customStyle="1" w:styleId="31">
    <w:name w:val="标题 2 Char"/>
    <w:basedOn w:val="13"/>
    <w:link w:val="3"/>
    <w:qFormat/>
    <w:uiPriority w:val="0"/>
    <w:rPr>
      <w:rFonts w:ascii="Cambria" w:hAnsi="Cambria" w:eastAsia="宋体" w:cs="Times New Roman"/>
      <w:b/>
      <w:bCs/>
      <w:sz w:val="32"/>
      <w:szCs w:val="32"/>
    </w:rPr>
  </w:style>
  <w:style w:type="character" w:customStyle="1" w:styleId="32">
    <w:name w:val="标题 3 Char"/>
    <w:basedOn w:val="13"/>
    <w:link w:val="4"/>
    <w:qFormat/>
    <w:uiPriority w:val="9"/>
    <w:rPr>
      <w:rFonts w:ascii="仿宋_GB2312" w:hAnsi="Calibri" w:eastAsia="仿宋_GB2312" w:cs="Times New Roman"/>
      <w:sz w:val="30"/>
      <w:szCs w:val="30"/>
    </w:rPr>
  </w:style>
  <w:style w:type="character" w:customStyle="1" w:styleId="33">
    <w:name w:val="脚注文本 Char"/>
    <w:basedOn w:val="13"/>
    <w:semiHidden/>
    <w:qFormat/>
    <w:uiPriority w:val="99"/>
    <w:rPr>
      <w:kern w:val="2"/>
      <w:sz w:val="18"/>
      <w:szCs w:val="18"/>
    </w:rPr>
  </w:style>
  <w:style w:type="character" w:customStyle="1" w:styleId="34">
    <w:name w:val="脚注文本 Char1"/>
    <w:basedOn w:val="13"/>
    <w:link w:val="10"/>
    <w:semiHidden/>
    <w:qFormat/>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w:basedOn w:val="13"/>
    <w:link w:val="5"/>
    <w:qFormat/>
    <w:uiPriority w:val="0"/>
    <w:rPr>
      <w:rFonts w:ascii="宋体"/>
      <w:sz w:val="18"/>
      <w:szCs w:val="18"/>
    </w:rPr>
  </w:style>
  <w:style w:type="character" w:customStyle="1" w:styleId="37">
    <w:name w:val="批注文字 Char1"/>
    <w:basedOn w:val="13"/>
    <w:semiHidden/>
    <w:qFormat/>
    <w:uiPriority w:val="99"/>
    <w:rPr>
      <w:kern w:val="2"/>
      <w:sz w:val="21"/>
      <w:szCs w:val="22"/>
    </w:rPr>
  </w:style>
  <w:style w:type="character" w:customStyle="1" w:styleId="38">
    <w:name w:val="Intense Emphasis"/>
    <w:basedOn w:val="13"/>
    <w:qFormat/>
    <w:uiPriority w:val="21"/>
    <w:rPr>
      <w:b/>
      <w:bCs/>
      <w:i/>
      <w:iCs/>
      <w:color w:val="4F81BD"/>
    </w:rPr>
  </w:style>
  <w:style w:type="character" w:customStyle="1" w:styleId="39">
    <w:name w:val="文档结构图 Char1"/>
    <w:basedOn w:val="13"/>
    <w:semiHidden/>
    <w:qFormat/>
    <w:uiPriority w:val="99"/>
    <w:rPr>
      <w:rFonts w:ascii="宋体" w:eastAsia="宋体"/>
      <w:sz w:val="18"/>
      <w:szCs w:val="18"/>
    </w:rPr>
  </w:style>
  <w:style w:type="character" w:customStyle="1" w:styleId="40">
    <w:name w:val="脚注文本 Char2"/>
    <w:basedOn w:val="13"/>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oter" Target="footer3.xml"/><Relationship Id="rId7" Type="http://schemas.openxmlformats.org/officeDocument/2006/relationships/theme" Target="theme/theme1.xml"/><Relationship Id="rId8"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272</Words>
  <Characters>1552</Characters>
  <Lines>12</Lines>
  <Paragraphs>3</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2020-03-18T05:48:00Z</dcterms:created>
  <dc:creator>裴建君2</dc:creator>
  <cp:lastModifiedBy>赵欣媛</cp:lastModifiedBy>
  <cp:lastPrinted>2020-07-02T09:04:00Z</cp:lastPrinted>
  <dcterms:modified xsi:type="dcterms:W3CDTF">2021-11-22T09:57:19Z</dcterms:modified>
  <dc:title>编号：57012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