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9"/>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7.《中国人民银行  国家外汇管理局关于调整全口径跨境融资宏观审慎调节参数的通知》（银发〔2020〕64号）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按照规定可以举借外债的财政部门、银行以外的其他境内债务人（以下简称“非银行债务人”）。应当在不晚于外债提款前3个工作日内，到所在地国家外汇管理局分支局办理外债签约登记手续。非银行债务人融资租赁、售后融资性回租和发行境外债券等，也应办理外债签约登记手续。</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非银行债务人已登记外债符合以下条件的，在办妥最后一笔还本付息业务、关闭相关外债账户后，可向所属分局（外汇管理部）辖内银行申请办理外债注销登记：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567"/>
        <w:gridCol w:w="992"/>
        <w:gridCol w:w="387"/>
        <w:gridCol w:w="587"/>
        <w:gridCol w:w="494"/>
        <w:gridCol w:w="494"/>
      </w:tblGrid>
      <w:tr>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vAlign w:val="top"/>
          </w:tcPr>
          <w:p>
            <w:pPr>
              <w:keepNext/>
              <w:keepLines/>
              <w:spacing w:before="340" w:after="330" w:line="578" w:lineRule="auto"/>
              <w:jc w:val="center"/>
              <w:rPr>
                <w:rFonts w:ascii="Times New Roman" w:hAnsi="Times New Roman" w:eastAsia="仿宋_GB2312" w:cs="Times New Roman"/>
                <w:sz w:val="24"/>
                <w:szCs w:val="24"/>
              </w:rPr>
            </w:pPr>
          </w:p>
        </w:tc>
      </w:tr>
      <w:tr>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9"/>
        <w:gridCol w:w="708"/>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993"/>
        <w:gridCol w:w="708"/>
        <w:gridCol w:w="993"/>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outlineLvl w:val="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hint="eastAsia" w:ascii="Times New Roman" w:hAnsi="Times New Roman" w:eastAsia="黑体" w:cs="Times New Roman"/>
          <w:sz w:val="30"/>
          <w:szCs w:val="30"/>
        </w:rPr>
        <w:t>办公地址、时间及联系方式</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540" w:lineRule="exact"/>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咨询途径、监督和投诉、公开查询方式等由所在地分局（外汇管理部）另行公布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仿宋_GB2312" w:cs="Times New Roman"/>
          <w:sz w:val="30"/>
          <w:szCs w:val="30"/>
        </w:rPr>
      </w:pPr>
      <w:bookmarkStart w:id="5" w:name="_GoBack"/>
      <w:bookmarkEnd w:id="5"/>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026" o:spid="_x0000_s1027" style="position:absolute;left:0;margin-left:-18pt;margin-top:28.25pt;height:586.05pt;width:453.65pt;rotation:0f;z-index:251660288;"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7492193"/>
      <w:bookmarkStart w:id="1" w:name="_Toc495992552"/>
      <w:bookmarkStart w:id="2" w:name="_Toc492328435"/>
      <w:bookmarkStart w:id="3" w:name="_Toc485028274"/>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5"/>
        </w:rPr>
        <w:footnoteReference w:id="0"/>
      </w:r>
      <w:r>
        <w:rPr>
          <w:rFonts w:ascii="Times New Roman" w:cs="Times New Roman"/>
        </w:rPr>
        <w:t>：万元人民币</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5"/>
        </w:rPr>
        <w:footnoteReference w:id="6"/>
      </w:r>
      <w:r>
        <w:rPr>
          <w:rFonts w:ascii="Times New Roman" w:cs="Times New Roman"/>
        </w:rPr>
        <w:t>：万元人民币</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5"/>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1" type="#_x0000_t3" style="position:absolute;left:0;margin-left:8.9pt;margin-top:-1.5pt;height:28.8pt;width:63.95pt;rotation:0f;z-index:251658240;" o:ole="f" fillcolor="#9CBEE0" filled="f" o:preferrelative="t" stroked="t" coordorigin="0,0" coordsize="21600,21600">
                  <v:fill on="f" color2="#BBD5F0" focus="0%"/>
                  <v:stroke weight="1.25pt"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5"/>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5"/>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2" type="#_x0000_t48" style="position:absolute;left:0;margin-left:254.25pt;margin-top:-8.05pt;height:38.65pt;width:67.95pt;rotation:0f;z-index:251659264;" o:ole="f" fillcolor="#9CBEE0" filled="f" o:preferrelative="t" stroked="t" coordorigin="0,0" coordsize="21600,21600" adj="-5404,-22662,-3656,5030,-1907,5030">
                  <v:fill on="f" color2="#BBD5F0" focus="0%"/>
                  <v:stroke weight="1.25pt"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5"/>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5"/>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5" w:type="default"/>
      <w:footerReference r:id="rId7" w:type="default"/>
      <w:headerReference r:id="rId6"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华文仿宋">
    <w:altName w:val="仿宋_GB2312"/>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16</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跨境融资风险加权余额上限=净资产×外债杠杆率×宏观审慎调节参数。其中，宏观审慎条件参数的初始值设定为1.25，外债杠杆率初始值设定为2。</w:t>
      </w:r>
    </w:p>
  </w:footnote>
  <w:footnote w:id="4">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5"/>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5"/>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5"/>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5"/>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5"/>
          <w:rFonts w:ascii="宋体" w:hAnsi="宋体"/>
        </w:rPr>
        <w:footnoteRef/>
      </w:r>
      <w:r>
        <w:rPr>
          <w:rFonts w:hint="eastAsia" w:ascii="宋体" w:hAnsi="宋体"/>
        </w:rPr>
        <w:t>跨境融资风险加权余额上限=净资产×外债杠杆率×宏观审慎调节参数。其中，宏观审慎条件参数的初始值设定为1.25，外债杠杆率初始值设定为2。</w:t>
      </w:r>
    </w:p>
  </w:footnote>
  <w:footnote w:id="10">
    <w:p>
      <w:pPr>
        <w:pStyle w:val="10"/>
        <w:rPr>
          <w:rFonts w:ascii="宋体" w:hAnsi="宋体"/>
        </w:rPr>
      </w:pPr>
      <w:r>
        <w:rPr>
          <w:rStyle w:val="15"/>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5"/>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5422">
    <w:nsid w:val="5A11074E"/>
    <w:multiLevelType w:val="singleLevel"/>
    <w:tmpl w:val="5A11074E"/>
    <w:lvl w:ilvl="0" w:tentative="1">
      <w:start w:val="2"/>
      <w:numFmt w:val="decimal"/>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 w:numId="3">
    <w:abstractNumId w:val="151106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List Paragraph"/>
    <w:basedOn w:val="1"/>
    <w:qFormat/>
    <w:uiPriority w:val="99"/>
    <w:pPr>
      <w:ind w:firstLine="420" w:firstLineChars="200"/>
    </w:p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8">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列出段落4"/>
    <w:basedOn w:val="1"/>
    <w:qFormat/>
    <w:uiPriority w:val="0"/>
    <w:pPr>
      <w:ind w:firstLine="200" w:firstLineChars="200"/>
    </w:pPr>
    <w:rPr>
      <w:rFonts w:ascii="Calibri" w:hAnsi="Calibri" w:eastAsia="宋体" w:cs="Times New Roman"/>
    </w:rPr>
  </w:style>
  <w:style w:type="paragraph" w:customStyle="1" w:styleId="21">
    <w:name w:val="列出段落3"/>
    <w:basedOn w:val="1"/>
    <w:qFormat/>
    <w:uiPriority w:val="0"/>
    <w:pPr>
      <w:ind w:firstLine="420" w:firstLineChars="200"/>
    </w:pPr>
    <w:rPr>
      <w:rFonts w:ascii="Times New Roman" w:hAnsi="Times New Roman" w:eastAsia="宋体" w:cs="Times New Roman"/>
      <w:szCs w:val="24"/>
    </w:rPr>
  </w:style>
  <w:style w:type="paragraph" w:customStyle="1" w:styleId="22">
    <w:name w:val="p0"/>
    <w:basedOn w:val="1"/>
    <w:qFormat/>
    <w:uiPriority w:val="0"/>
    <w:pPr>
      <w:widowControl/>
    </w:pPr>
    <w:rPr>
      <w:rFonts w:ascii="Calibri" w:hAnsi="Calibri" w:eastAsia="宋体" w:cs="宋体"/>
      <w:kern w:val="0"/>
      <w:szCs w:val="21"/>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character" w:customStyle="1" w:styleId="24">
    <w:name w:val="标题 1 Char Char"/>
    <w:basedOn w:val="13"/>
    <w:link w:val="2"/>
    <w:uiPriority w:val="9"/>
    <w:rPr>
      <w:rFonts w:ascii="黑体" w:hAnsi="黑体" w:eastAsia="黑体" w:cs="宋体"/>
      <w:color w:val="000000"/>
      <w:kern w:val="0"/>
      <w:sz w:val="30"/>
      <w:szCs w:val="30"/>
    </w:rPr>
  </w:style>
  <w:style w:type="character" w:customStyle="1" w:styleId="25">
    <w:name w:val="标题 2 Char Char"/>
    <w:basedOn w:val="13"/>
    <w:link w:val="3"/>
    <w:uiPriority w:val="9"/>
    <w:rPr>
      <w:rFonts w:ascii="Cambria" w:hAnsi="Cambria" w:eastAsia="宋体" w:cs="Times New Roman"/>
      <w:b/>
      <w:bCs/>
      <w:sz w:val="32"/>
      <w:szCs w:val="32"/>
    </w:rPr>
  </w:style>
  <w:style w:type="character" w:customStyle="1" w:styleId="26">
    <w:name w:val="标题 3 Char Char"/>
    <w:basedOn w:val="13"/>
    <w:link w:val="4"/>
    <w:uiPriority w:val="9"/>
    <w:rPr>
      <w:rFonts w:ascii="仿宋_GB2312" w:hAnsi="Calibri" w:eastAsia="仿宋_GB2312" w:cs="Times New Roman"/>
      <w:sz w:val="30"/>
      <w:szCs w:val="30"/>
    </w:rPr>
  </w:style>
  <w:style w:type="character" w:customStyle="1" w:styleId="27">
    <w:name w:val="页眉 Char Char"/>
    <w:basedOn w:val="13"/>
    <w:link w:val="9"/>
    <w:uiPriority w:val="99"/>
    <w:rPr>
      <w:sz w:val="18"/>
      <w:szCs w:val="18"/>
    </w:rPr>
  </w:style>
  <w:style w:type="character" w:customStyle="1" w:styleId="28">
    <w:name w:val="页脚 Char Char"/>
    <w:basedOn w:val="13"/>
    <w:link w:val="8"/>
    <w:uiPriority w:val="99"/>
    <w:rPr>
      <w:sz w:val="18"/>
      <w:szCs w:val="18"/>
    </w:rPr>
  </w:style>
  <w:style w:type="character" w:customStyle="1" w:styleId="29">
    <w:name w:val="批注框文本 Char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Char"/>
    <w:basedOn w:val="13"/>
    <w:link w:val="11"/>
    <w:uiPriority w:val="99"/>
    <w:rPr>
      <w:rFonts w:ascii="宋体" w:hAnsi="宋体" w:eastAsia="宋体" w:cs="宋体"/>
      <w:kern w:val="0"/>
      <w:sz w:val="24"/>
      <w:szCs w:val="24"/>
    </w:rPr>
  </w:style>
  <w:style w:type="character" w:customStyle="1" w:styleId="32">
    <w:name w:val="批注文字 Char Char"/>
    <w:basedOn w:val="13"/>
    <w:link w:val="6"/>
    <w:uiPriority w:val="99"/>
    <w:rPr>
      <w:rFonts w:ascii="Calibri" w:hAnsi="Calibri" w:eastAsia="宋体" w:cs="Times New Roman"/>
    </w:rPr>
  </w:style>
  <w:style w:type="character" w:customStyle="1" w:styleId="33">
    <w:name w:val="脚注文本 Char Char"/>
    <w:basedOn w:val="13"/>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3"/>
    <w:link w:val="5"/>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李袁宁</cp:lastModifiedBy>
  <cp:lastPrinted>2020-07-02T08:51:00Z</cp:lastPrinted>
  <dcterms:modified xsi:type="dcterms:W3CDTF">2021-11-22T09:52:00Z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