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52"/>
          <w:szCs w:val="52"/>
        </w:rPr>
      </w:pPr>
      <w:r>
        <w:rPr>
          <w:rFonts w:ascii="Times New Roman" w:hAnsi="Times New Roman" w:eastAsia="黑体" w:cs="Times New Roman"/>
          <w:sz w:val="52"/>
          <w:szCs w:val="52"/>
        </w:rPr>
        <w:t>编号：57004</w:t>
      </w:r>
      <w:r>
        <w:rPr>
          <w:rFonts w:hint="eastAsia" w:ascii="Times New Roman" w:hAnsi="Times New Roman" w:eastAsia="黑体" w:cs="Times New Roman"/>
          <w:sz w:val="52"/>
          <w:szCs w:val="52"/>
        </w:rPr>
        <w:t xml:space="preserve">               </w:t>
      </w:r>
      <w:r>
        <w:rPr>
          <w:rFonts w:ascii="Times New Roman" w:hAnsi="Times New Roman" w:eastAsia="黑体" w:cs="Times New Roman"/>
          <w:kern w:val="2"/>
          <w:sz w:val="52"/>
          <w:szCs w:val="52"/>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境外机构在境内发行股票或中国存托凭证登记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1.《中华人民共和国外汇管理条例》（中华人民共和国国务院令第532号）。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2.《国务院办公厅转发证监会关于开展创新企业境内发行股票或存托凭证试点若干意见的通知》（国办发〔2018〕21号）。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3.《存托凭证跨境资金管理办法（试行）》（中国人民银行国家外汇管理局公告</w:t>
      </w:r>
      <w:r>
        <w:rPr>
          <w:rFonts w:ascii="Times New Roman" w:hAnsi="宋体" w:eastAsia="宋体" w:cs="Times New Roman"/>
          <w:sz w:val="30"/>
          <w:szCs w:val="30"/>
        </w:rPr>
        <w:t>﹝</w:t>
      </w:r>
      <w:r>
        <w:rPr>
          <w:rFonts w:ascii="Times New Roman" w:hAnsi="Times New Roman" w:eastAsia="仿宋_GB2312" w:cs="Times New Roman"/>
          <w:sz w:val="30"/>
          <w:szCs w:val="30"/>
        </w:rPr>
        <w:t>2019</w:t>
      </w:r>
      <w:r>
        <w:rPr>
          <w:rFonts w:ascii="Times New Roman" w:hAnsi="宋体" w:eastAsia="宋体" w:cs="Times New Roman"/>
          <w:sz w:val="30"/>
          <w:szCs w:val="30"/>
        </w:rPr>
        <w:t>﹞</w:t>
      </w:r>
      <w:r>
        <w:rPr>
          <w:rFonts w:ascii="Times New Roman" w:hAnsi="仿宋_GB2312" w:eastAsia="仿宋_GB2312" w:cs="Times New Roman"/>
          <w:sz w:val="30"/>
          <w:szCs w:val="30"/>
        </w:rPr>
        <w:t>第</w:t>
      </w:r>
      <w:r>
        <w:rPr>
          <w:rFonts w:ascii="Times New Roman" w:hAnsi="Times New Roman" w:eastAsia="仿宋_GB2312" w:cs="Times New Roman"/>
          <w:sz w:val="30"/>
          <w:szCs w:val="30"/>
        </w:rPr>
        <w:t>8号）。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境外发行人上市境内证券交易所所在地国家外汇管理局分局或外汇管理部。</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境外发行人上市境内证券交易所所在地国家外汇管理局分局或外汇管理部。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境外发行人以新增证券为基础发行中国存托凭证，应在获得证监会核准发行后10个工作日内，委托其境内主承销商（或境内相关代理机构）办理登记。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118"/>
        <w:gridCol w:w="992"/>
        <w:gridCol w:w="567"/>
        <w:gridCol w:w="851"/>
        <w:gridCol w:w="709"/>
        <w:gridCol w:w="1701"/>
      </w:tblGrid>
      <w:tr>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118"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118" w:type="dxa"/>
            <w:vAlign w:val="center"/>
          </w:tcPr>
          <w:p>
            <w:pPr>
              <w:contextualSpacing/>
              <w:jc w:val="left"/>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书面申请</w:t>
            </w:r>
            <w:r>
              <w:rPr>
                <w:rFonts w:ascii="Times New Roman" w:hAnsi="Times New Roman" w:eastAsia="仿宋_GB2312" w:cs="Times New Roman"/>
                <w:color w:val="000000"/>
                <w:sz w:val="24"/>
                <w:szCs w:val="24"/>
              </w:rPr>
              <w:t>，并附《以新增证券为基础的中国存托凭证发行登记表》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加盖公章或有权签字人签字的原件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center"/>
          </w:tcPr>
          <w:p>
            <w:pPr>
              <w:contextualSpacing/>
              <w:jc w:val="left"/>
              <w:rPr>
                <w:rFonts w:ascii="Times New Roman" w:hAnsi="Times New Roman" w:eastAsia="仿宋_GB2312" w:cs="Times New Roman"/>
                <w:sz w:val="24"/>
                <w:szCs w:val="24"/>
              </w:rPr>
            </w:pPr>
          </w:p>
        </w:tc>
      </w:tr>
      <w:t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118"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证监会核准发行中国存托凭证的许可文件</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top"/>
          </w:tcPr>
          <w:p>
            <w:pPr>
              <w:contextualSpacing/>
              <w:jc w:val="left"/>
              <w:rPr>
                <w:rFonts w:ascii="Times New Roman" w:hAnsi="Times New Roman" w:eastAsia="仿宋_GB2312" w:cs="Times New Roman"/>
                <w:sz w:val="24"/>
                <w:szCs w:val="24"/>
              </w:rPr>
            </w:pPr>
          </w:p>
        </w:tc>
      </w:tr>
      <w:t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118"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境外发行人委托境内主承销商（或境内相关代理机构）办理中国存托凭证登记的委托代理协议</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top"/>
          </w:tcPr>
          <w:p>
            <w:pPr>
              <w:contextualSpacing/>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境内主承销商（或境内相关代理机构）可通过境外发行人上市境内证券交易所所在地国家外汇管理局分局或外汇管理部业务窗口提交材料。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业务登记凭证。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pPr>
        <w:adjustRightInd w:val="0"/>
        <w:snapToGrid w:val="0"/>
        <w:spacing w:line="360" w:lineRule="auto"/>
        <w:ind w:firstLine="600"/>
        <w:outlineLvl w:val="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（十五）</w:t>
      </w:r>
      <w:r>
        <w:rPr>
          <w:rFonts w:hint="eastAsia" w:ascii="Times New Roman" w:hAnsi="Times New Roman" w:eastAsia="黑体" w:cs="Times New Roman"/>
          <w:sz w:val="30"/>
          <w:szCs w:val="30"/>
        </w:rPr>
        <w:t>办公地址、时间及联系方式</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办公地址：云南省昆明市五华区正义路69号国家外汇管理局云南省分局1402室</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办公时间：上午8：30—12：00   下午13:30—17:00</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联系电话：0871-63212721（资本项目管理处）</w:t>
      </w:r>
    </w:p>
    <w:p>
      <w:pPr>
        <w:adjustRightInd w:val="0"/>
        <w:snapToGrid w:val="0"/>
        <w:spacing w:line="360" w:lineRule="auto"/>
        <w:ind w:firstLine="600"/>
        <w:outlineLvl w:val="0"/>
        <w:rPr>
          <w:rFonts w:hint="eastAsia" w:ascii="Times New Roman" w:hAnsi="Times New Roman" w:eastAsia="黑体" w:cs="Times New Roman"/>
          <w:sz w:val="30"/>
          <w:szCs w:val="30"/>
          <w:lang w:eastAsia="zh-CN"/>
        </w:rPr>
      </w:pPr>
      <w:r>
        <w:rPr>
          <w:rFonts w:hint="eastAsia" w:ascii="Times New Roman" w:hAnsi="Times New Roman" w:eastAsia="黑体" w:cs="Times New Roman"/>
          <w:sz w:val="30"/>
          <w:szCs w:val="30"/>
          <w:lang w:eastAsia="zh-CN"/>
        </w:rPr>
        <w:t>（十六）咨询途径</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向各地外汇局进行咨询、进程查询、监督和投诉等可通过各地外汇局官方互联网站的相应栏目进行。网址可通过www.safe.gov.cn进行链接，也可通过各外汇局官方互联网站上公布的电话进行。</w:t>
      </w:r>
    </w:p>
    <w:p>
      <w:pPr>
        <w:widowControl/>
        <w:jc w:val="left"/>
        <w:rPr>
          <w:rFonts w:ascii="Times New Roman" w:hAnsi="Times New Roman" w:eastAsia="仿宋_GB2312" w:cs="Times New Roman"/>
          <w:sz w:val="30"/>
          <w:szCs w:val="30"/>
        </w:rPr>
      </w:pPr>
      <w:bookmarkStart w:id="0" w:name="_GoBack"/>
      <w:bookmarkEnd w:id="0"/>
      <w:r>
        <w:rPr>
          <w:rFonts w:ascii="Times New Roman" w:hAnsi="Times New Roman" w:eastAsia="仿宋_GB2312" w:cs="Times New Roman"/>
          <w:sz w:val="30"/>
          <w:szCs w:val="30"/>
        </w:rPr>
        <w:br w:type="page"/>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26" o:spid="_x0000_s1027" style="position:absolute;left:0;margin-left:-21pt;margin-top:14.85pt;height:586.05pt;width:455.05pt;rotation:0f;z-index:251658240;" coordorigin="-180,0" coordsize="9101,11721">
            <o:lock v:ext="edit" position="f" selection="f" grouping="f" rotation="f" cropping="f" text="f" aspectratio="f"/>
            <v:rect id="Rectangle 681"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1" type="#_x0000_t32" style="position:absolute;left:4382;top:7693;height:626;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5" o:spid="_x0000_s1032" type="#_x0000_t32" style="position:absolute;left:6331;top:9568;height:1095;width:17;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6" o:spid="_x0000_s1033" type="#_x0000_t32" style="position:absolute;left:2358;top:9568;height:1035;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7" o:spid="_x0000_s1034" type="#_x0000_t32" style="position:absolute;left:4383;top:8853;height:715;width:1;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88" o:spid="_x0000_s1035" type="#_x0000_t32" style="position:absolute;left:2359;top:9568;height:0;width:3972;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035" o:spid="_x0000_s1036" style="position:absolute;left:-180;top:0;height:7693;width:9101;rotation:0f;" coordorigin="-180,0" coordsize="9101,7693">
              <o:lock v:ext="edit" position="f" selection="f" grouping="f" rotation="f" cropping="f" text="f" aspectratio="f"/>
              <v:shape id="AutoShape 690" o:spid="_x0000_s1037" type="#_x0000_t32" style="position:absolute;left:5893;top:6566;height:608;width:0;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组合 1037" o:spid="_x0000_s1038" style="position:absolute;left:-180;top:0;height:7693;width:9101;rotation:0f;" coordorigin="-180,0" coordsize="9101,7693">
                <o:lock v:ext="edit" position="f" selection="f" grouping="f" rotation="f" cropping="f" text="f" aspectratio="f"/>
                <v:shape id="AutoShape 692" o:spid="_x0000_s1039" type="#_x0000_t34" style="position:absolute;left:6366;top:3154;height:1285;width:3823;rotation:17694720f;" o:ole="f"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693"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1" type="#_x0000_t32" style="position:absolute;left:5893;top:4472;height:378;width:0;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695"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80;top:0;height:7424;width:4774;rotation:0f;" coordorigin="-180,0" coordsize="4774,7424">
                  <o:lock v:ext="edit" position="f" selection="f" grouping="f" rotation="f" cropping="f" text="f" aspectratio="f"/>
                  <v:shape id="AutoShape 701" o:spid="_x0000_s1048" type="#_x0000_t32" style="position:absolute;left:3663;top:3910;height:0;width:93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2" o:spid="_x0000_s1049" type="#_x0000_t32" style="position:absolute;left:1355;top:3986;height:3437;width:1;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049" o:spid="_x0000_s1050" style="position:absolute;left:-180;top:0;height:4020;width:3809;rotation:0f;" coordorigin="-180,0" coordsize="3809,4020">
                    <o:lock v:ext="edit" position="f" selection="f" grouping="f" rotation="f" cropping="f" text="f" aspectratio="f"/>
                    <v:shape id="AutoShape 704" o:spid="_x0000_s1051" type="#_x0000_t32" style="position:absolute;left:1396;top:1172;height:764;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5" o:spid="_x0000_s1052" type="#_x0000_t32" style="position:absolute;left:2400;top:2967;height:0;width:1229;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06" o:spid="_x0000_s1053"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5" type="#_x0000_t32" style="position:absolute;left:1355;top:7423;height:1;width:1213;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9" o:spid="_x0000_s1056" type="#_x0000_t32" style="position:absolute;left:3663;top:1999;height:1921;width:0;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10" o:spid="_x0000_s1057" type="#_x0000_t32" style="position:absolute;left:3663;top:1989;height:1;width:903;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11"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60" type="#_x0000_t32" style="position:absolute;left:7384;top:1886;flip:x;height:0;width:1537;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rPr>
          <w:rFonts w:ascii="Times New Roman" w:hAnsi="Times New Roman" w:cs="Times New Roman"/>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附录二  </w:t>
      </w:r>
    </w:p>
    <w:p>
      <w:pPr>
        <w:spacing w:line="400" w:lineRule="exact"/>
        <w:ind w:firstLine="570"/>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以新增证券为基础的中国存托凭证发行登记表</w:t>
      </w:r>
    </w:p>
    <w:p>
      <w:pPr>
        <w:spacing w:line="400" w:lineRule="exact"/>
        <w:ind w:firstLine="570"/>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Registration form for Issuance of Chinese Depositary Receipt</w:t>
      </w:r>
    </w:p>
    <w:tbl>
      <w:tblPr>
        <w:tblW w:w="141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08"/>
        <w:gridCol w:w="879"/>
        <w:gridCol w:w="71"/>
        <w:gridCol w:w="1488"/>
        <w:gridCol w:w="848"/>
        <w:gridCol w:w="2696"/>
        <w:gridCol w:w="564"/>
        <w:gridCol w:w="712"/>
        <w:gridCol w:w="1417"/>
        <w:gridCol w:w="1568"/>
        <w:gridCol w:w="558"/>
        <w:gridCol w:w="1165"/>
      </w:tblGrid>
      <w:tr>
        <w:trPr>
          <w:trHeight w:val="776" w:hRule="atLeast"/>
        </w:trPr>
        <w:tc>
          <w:tcPr>
            <w:tcW w:w="14174"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华文仿宋" w:cs="Times New Roman"/>
                <w:b/>
                <w:bCs/>
                <w:color w:val="000000"/>
                <w:kern w:val="0"/>
                <w:sz w:val="24"/>
                <w:szCs w:val="24"/>
              </w:rPr>
            </w:pPr>
            <w:r>
              <w:rPr>
                <w:rFonts w:ascii="Times New Roman" w:hAnsi="Times New Roman" w:eastAsia="华文仿宋" w:cs="Times New Roman"/>
                <w:b/>
                <w:bCs/>
                <w:color w:val="000000"/>
                <w:kern w:val="0"/>
                <w:sz w:val="24"/>
                <w:szCs w:val="24"/>
              </w:rPr>
              <w:t>一、境外基础证券发行人基本信息（中国存托凭证核准后发行结束前填写）I. Summary of the Issuer of the Underlying Offshore Securities (to be filled out after CSRC has granted the approval while before the completion of issuance &amp; listing)</w:t>
            </w:r>
          </w:p>
        </w:tc>
      </w:tr>
      <w:tr>
        <w:trPr>
          <w:cantSplit/>
          <w:trHeight w:val="345" w:hRule="atLeast"/>
        </w:trPr>
        <w:tc>
          <w:tcPr>
            <w:tcW w:w="2208"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xml:space="preserve">机构名称 Name of Issuer </w:t>
            </w: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中文</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rPr>
          <w:cantSplit/>
          <w:trHeight w:val="405" w:hRule="atLeast"/>
        </w:trPr>
        <w:tc>
          <w:tcPr>
            <w:tcW w:w="2208"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English</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rPr>
          <w:cantSplit/>
          <w:trHeight w:val="416" w:hRule="atLeast"/>
        </w:trPr>
        <w:tc>
          <w:tcPr>
            <w:tcW w:w="2208"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机构注册地 Domicile of Incorporation</w:t>
            </w: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2"/>
                <w:szCs w:val="21"/>
              </w:rPr>
            </w:pPr>
            <w:r>
              <w:rPr>
                <w:rFonts w:ascii="Times New Roman" w:hAnsi="Times New Roman" w:eastAsia="华文仿宋" w:cs="Times New Roman"/>
                <w:color w:val="000000"/>
                <w:kern w:val="0"/>
                <w:sz w:val="22"/>
              </w:rPr>
              <w:t>中文</w:t>
            </w:r>
          </w:p>
        </w:tc>
        <w:tc>
          <w:tcPr>
            <w:tcW w:w="233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b/>
                <w:bCs/>
                <w:color w:val="000000"/>
                <w:kern w:val="0"/>
                <w:sz w:val="28"/>
                <w:szCs w:val="28"/>
              </w:rPr>
            </w:pPr>
            <w:r>
              <w:rPr>
                <w:rFonts w:ascii="Times New Roman" w:hAnsi="Times New Roman" w:eastAsia="华文仿宋" w:cs="Times New Roman"/>
                <w:b/>
                <w:bCs/>
                <w:color w:val="000000"/>
                <w:kern w:val="0"/>
                <w:sz w:val="28"/>
                <w:szCs w:val="28"/>
              </w:rPr>
              <w:t>　</w:t>
            </w:r>
          </w:p>
        </w:tc>
        <w:tc>
          <w:tcPr>
            <w:tcW w:w="3260" w:type="dxa"/>
            <w:gridSpan w:val="2"/>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特殊机构赋码 Special Institutional Code</w:t>
            </w:r>
          </w:p>
        </w:tc>
        <w:tc>
          <w:tcPr>
            <w:tcW w:w="2129"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c>
          <w:tcPr>
            <w:tcW w:w="2126"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全球法人机构识别编码（如有）（Legal Entity Identifier）(if have)</w:t>
            </w:r>
          </w:p>
        </w:tc>
        <w:tc>
          <w:tcPr>
            <w:tcW w:w="1165" w:type="dxa"/>
            <w:vMerge w:val="restart"/>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p>
        </w:tc>
      </w:tr>
      <w:tr>
        <w:trPr>
          <w:cantSplit/>
          <w:trHeight w:val="422" w:hRule="atLeast"/>
        </w:trPr>
        <w:tc>
          <w:tcPr>
            <w:tcW w:w="220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华文仿宋" w:cs="Times New Roman"/>
                <w:color w:val="000000"/>
                <w:kern w:val="0"/>
                <w:sz w:val="24"/>
                <w:szCs w:val="24"/>
              </w:rPr>
            </w:pP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2"/>
                <w:szCs w:val="21"/>
              </w:rPr>
            </w:pPr>
            <w:r>
              <w:rPr>
                <w:rFonts w:ascii="Times New Roman" w:hAnsi="Times New Roman" w:eastAsia="华文仿宋" w:cs="Times New Roman"/>
                <w:color w:val="000000"/>
                <w:kern w:val="0"/>
                <w:sz w:val="22"/>
              </w:rPr>
              <w:t>English</w:t>
            </w:r>
          </w:p>
        </w:tc>
        <w:tc>
          <w:tcPr>
            <w:tcW w:w="233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b/>
                <w:bCs/>
                <w:color w:val="000000"/>
                <w:kern w:val="0"/>
                <w:sz w:val="28"/>
                <w:szCs w:val="28"/>
              </w:rPr>
            </w:pPr>
            <w:r>
              <w:rPr>
                <w:rFonts w:ascii="Times New Roman" w:hAnsi="Times New Roman" w:eastAsia="华文仿宋" w:cs="Times New Roman"/>
                <w:b/>
                <w:bCs/>
                <w:color w:val="000000"/>
                <w:kern w:val="0"/>
                <w:sz w:val="28"/>
                <w:szCs w:val="28"/>
              </w:rPr>
              <w:t>　</w:t>
            </w:r>
          </w:p>
        </w:tc>
        <w:tc>
          <w:tcPr>
            <w:tcW w:w="3260" w:type="dxa"/>
            <w:gridSpan w:val="2"/>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2129"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212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1165"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r>
      <w:tr>
        <w:trPr>
          <w:trHeight w:val="475" w:hRule="atLeast"/>
        </w:trPr>
        <w:tc>
          <w:tcPr>
            <w:tcW w:w="5494" w:type="dxa"/>
            <w:gridSpan w:val="5"/>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境外基础证券上市交易所（如有）（Listed Exchange of Underlying Offshore Securities）(if have)</w:t>
            </w:r>
          </w:p>
        </w:tc>
        <w:tc>
          <w:tcPr>
            <w:tcW w:w="8680" w:type="dxa"/>
            <w:gridSpan w:val="7"/>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p>
        </w:tc>
      </w:tr>
      <w:tr>
        <w:trPr>
          <w:trHeight w:val="799" w:hRule="atLeast"/>
        </w:trPr>
        <w:tc>
          <w:tcPr>
            <w:tcW w:w="220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境内主承销商 Onshore Lead Underwriter</w:t>
            </w:r>
          </w:p>
        </w:tc>
        <w:tc>
          <w:tcPr>
            <w:tcW w:w="3286"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c>
          <w:tcPr>
            <w:tcW w:w="3260" w:type="dxa"/>
            <w:gridSpan w:val="2"/>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金融机构标识码 Financial Institutions Identification Code</w:t>
            </w:r>
          </w:p>
        </w:tc>
        <w:tc>
          <w:tcPr>
            <w:tcW w:w="5420"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rPr>
          <w:trHeight w:val="1149" w:hRule="atLeast"/>
        </w:trPr>
        <w:tc>
          <w:tcPr>
            <w:tcW w:w="220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存托人 Depositary</w:t>
            </w:r>
          </w:p>
        </w:tc>
        <w:tc>
          <w:tcPr>
            <w:tcW w:w="3286"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c>
          <w:tcPr>
            <w:tcW w:w="3260" w:type="dxa"/>
            <w:gridSpan w:val="2"/>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金融机构标识码/统一社会信用代码 Financial Institutions Identification Code/Uniform Social Credit Code</w:t>
            </w:r>
          </w:p>
        </w:tc>
        <w:tc>
          <w:tcPr>
            <w:tcW w:w="5420"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rPr>
          <w:cantSplit/>
          <w:trHeight w:val="510" w:hRule="atLeast"/>
        </w:trPr>
        <w:tc>
          <w:tcPr>
            <w:tcW w:w="2208"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境外托管人Custodian</w:t>
            </w: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中文</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rPr>
          <w:cantSplit/>
          <w:trHeight w:val="510" w:hRule="atLeast"/>
        </w:trPr>
        <w:tc>
          <w:tcPr>
            <w:tcW w:w="2208"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English</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rPr>
          <w:trHeight w:val="735" w:hRule="atLeast"/>
        </w:trPr>
        <w:tc>
          <w:tcPr>
            <w:tcW w:w="14174" w:type="dxa"/>
            <w:gridSpan w:val="1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华文仿宋" w:cs="Times New Roman"/>
                <w:b/>
                <w:bCs/>
                <w:color w:val="000000"/>
                <w:kern w:val="0"/>
                <w:sz w:val="24"/>
                <w:szCs w:val="24"/>
              </w:rPr>
            </w:pPr>
            <w:r>
              <w:rPr>
                <w:rFonts w:ascii="Times New Roman" w:hAnsi="Times New Roman" w:eastAsia="华文仿宋" w:cs="Times New Roman"/>
                <w:b/>
                <w:bCs/>
                <w:color w:val="000000"/>
                <w:kern w:val="0"/>
                <w:sz w:val="24"/>
                <w:szCs w:val="24"/>
              </w:rPr>
              <w:t>二、中国存托凭证发行信息（发行结束后填写）II. Issuance Information of the Chinese Depositary Receipt(to be filled out when the issuance is completed)</w:t>
            </w:r>
          </w:p>
        </w:tc>
      </w:tr>
      <w:tr>
        <w:trPr>
          <w:trHeight w:val="657"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存托凭证名称</w:t>
            </w:r>
            <w:r>
              <w:rPr>
                <w:rFonts w:ascii="Times New Roman" w:hAnsi="Times New Roman" w:eastAsia="华文仿宋" w:cs="Times New Roman"/>
                <w:color w:val="000000"/>
                <w:sz w:val="24"/>
                <w:szCs w:val="24"/>
              </w:rPr>
              <w:t xml:space="preserve"> Name of securities investment license</w:t>
            </w:r>
          </w:p>
        </w:tc>
        <w:tc>
          <w:tcPr>
            <w:tcW w:w="5103" w:type="dxa"/>
            <w:gridSpan w:val="4"/>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000000"/>
                <w:sz w:val="24"/>
                <w:szCs w:val="24"/>
              </w:rPr>
            </w:pPr>
          </w:p>
        </w:tc>
        <w:tc>
          <w:tcPr>
            <w:tcW w:w="4261"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批文号</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Approval No.</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rPr>
          <w:trHeight w:val="955"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发行上市类型</w:t>
            </w:r>
            <w:r>
              <w:rPr>
                <w:rFonts w:ascii="Times New Roman" w:hAnsi="Times New Roman" w:eastAsia="华文仿宋" w:cs="Times New Roman"/>
                <w:color w:val="000000"/>
                <w:sz w:val="24"/>
                <w:szCs w:val="24"/>
              </w:rPr>
              <w:t xml:space="preserve"> Type of Issuance &amp; Listing</w:t>
            </w:r>
          </w:p>
        </w:tc>
        <w:tc>
          <w:tcPr>
            <w:tcW w:w="5103"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交易所公开</w:t>
            </w:r>
            <w:r>
              <w:rPr>
                <w:rFonts w:ascii="Times New Roman" w:hAnsi="Times New Roman" w:eastAsia="华文仿宋" w:cs="Times New Roman"/>
                <w:color w:val="000000"/>
                <w:sz w:val="24"/>
                <w:szCs w:val="24"/>
              </w:rPr>
              <w:t xml:space="preserve">□ </w:t>
            </w:r>
            <w:r>
              <w:rPr>
                <w:rFonts w:ascii="Times New Roman" w:hAnsi="华文仿宋" w:eastAsia="华文仿宋" w:cs="Times New Roman"/>
                <w:color w:val="000000"/>
                <w:sz w:val="24"/>
                <w:szCs w:val="24"/>
              </w:rPr>
              <w:t>交易所非公开</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场外</w:t>
            </w:r>
            <w:r>
              <w:rPr>
                <w:rFonts w:ascii="Times New Roman" w:hAnsi="Times New Roman" w:eastAsia="华文仿宋" w:cs="Times New Roman"/>
                <w:color w:val="000000"/>
                <w:sz w:val="24"/>
                <w:szCs w:val="24"/>
              </w:rPr>
              <w:t>□   Publicly Issued On the Exchange□</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Non-publicly Issued On the Exchange□ OTC□</w:t>
            </w:r>
          </w:p>
        </w:tc>
        <w:tc>
          <w:tcPr>
            <w:tcW w:w="4261"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用于创设的境外基础证券数量</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Number of Underlying Securities</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rPr>
          <w:trHeight w:val="1087"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境外发行人基础证券发行（所在）地</w:t>
            </w:r>
            <w:r>
              <w:rPr>
                <w:rFonts w:ascii="Times New Roman" w:hAnsi="Times New Roman" w:eastAsia="华文仿宋" w:cs="Times New Roman"/>
                <w:color w:val="000000"/>
                <w:sz w:val="24"/>
                <w:szCs w:val="24"/>
              </w:rPr>
              <w:t xml:space="preserve"> Issuance Place of the Underlying Offshore Securities</w:t>
            </w:r>
          </w:p>
        </w:tc>
        <w:tc>
          <w:tcPr>
            <w:tcW w:w="155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354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占发行人境外基础证券比例（</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Percentage of the Total Offshore Underlying Securities</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w:t>
            </w: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29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存托凭证发行上市规模（人民币</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元）</w:t>
            </w:r>
            <w:r>
              <w:rPr>
                <w:rFonts w:ascii="Times New Roman" w:hAnsi="Times New Roman" w:eastAsia="华文仿宋" w:cs="Times New Roman"/>
                <w:color w:val="000000"/>
                <w:sz w:val="24"/>
                <w:szCs w:val="24"/>
              </w:rPr>
              <w:t xml:space="preserve"> Offering Size of the CDR</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RMB</w:t>
            </w:r>
            <w:r>
              <w:rPr>
                <w:rFonts w:ascii="Times New Roman" w:hAnsi="华文仿宋" w:eastAsia="华文仿宋" w:cs="Times New Roman"/>
                <w:color w:val="000000"/>
                <w:sz w:val="24"/>
                <w:szCs w:val="24"/>
              </w:rPr>
              <w:t>）</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rPr>
          <w:trHeight w:val="1219"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每股存托凭证代表基础证券份额</w:t>
            </w:r>
            <w:r>
              <w:rPr>
                <w:rFonts w:ascii="Times New Roman" w:hAnsi="Times New Roman" w:eastAsia="华文仿宋" w:cs="Times New Roman"/>
                <w:color w:val="000000"/>
                <w:sz w:val="24"/>
                <w:szCs w:val="24"/>
              </w:rPr>
              <w:t>Number of Underlying Shares Represented by Each CDR</w:t>
            </w:r>
          </w:p>
        </w:tc>
        <w:tc>
          <w:tcPr>
            <w:tcW w:w="155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354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每股存托凭证发行价格（人民币</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元）</w:t>
            </w:r>
            <w:r>
              <w:rPr>
                <w:rFonts w:ascii="Times New Roman" w:hAnsi="Times New Roman" w:eastAsia="华文仿宋" w:cs="Times New Roman"/>
                <w:color w:val="000000"/>
                <w:sz w:val="24"/>
                <w:szCs w:val="24"/>
              </w:rPr>
              <w:t xml:space="preserve"> Offering Price</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per CDR</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RMB</w:t>
            </w:r>
            <w:r>
              <w:rPr>
                <w:rFonts w:ascii="Times New Roman" w:hAnsi="华文仿宋" w:eastAsia="华文仿宋" w:cs="Times New Roman"/>
                <w:color w:val="000000"/>
                <w:sz w:val="24"/>
                <w:szCs w:val="24"/>
              </w:rPr>
              <w:t>）</w:t>
            </w: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29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发行上市日期</w:t>
            </w:r>
            <w:r>
              <w:rPr>
                <w:rFonts w:ascii="Times New Roman" w:hAnsi="Times New Roman" w:eastAsia="华文仿宋" w:cs="Times New Roman"/>
                <w:color w:val="000000"/>
                <w:sz w:val="24"/>
                <w:szCs w:val="24"/>
              </w:rPr>
              <w:t xml:space="preserve"> </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Issuance &amp; Listing Date</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YYYY-MM-DD</w:t>
            </w:r>
            <w:r>
              <w:rPr>
                <w:rFonts w:ascii="Times New Roman" w:hAnsi="华文仿宋" w:eastAsia="华文仿宋" w:cs="Times New Roman"/>
                <w:color w:val="000000"/>
                <w:sz w:val="24"/>
                <w:szCs w:val="24"/>
              </w:rPr>
              <w:t>）</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rPr>
          <w:trHeight w:val="797"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拟留存境内金额</w:t>
            </w:r>
            <w:r>
              <w:rPr>
                <w:rFonts w:ascii="Times New Roman" w:hAnsi="Times New Roman" w:eastAsia="华文仿宋" w:cs="Times New Roman"/>
                <w:color w:val="000000"/>
                <w:sz w:val="24"/>
                <w:szCs w:val="24"/>
              </w:rPr>
              <w:t>Proposed Amount to be Retained for Domestic Use</w:t>
            </w:r>
          </w:p>
        </w:tc>
        <w:tc>
          <w:tcPr>
            <w:tcW w:w="1559"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宋体" w:cs="Times New Roman"/>
                <w:color w:val="000000"/>
                <w:sz w:val="24"/>
                <w:szCs w:val="24"/>
              </w:rPr>
            </w:pPr>
            <w:r>
              <w:rPr>
                <w:rFonts w:ascii="Times New Roman" w:hAnsi="Calibri" w:eastAsia="宋体" w:cs="Times New Roman"/>
                <w:color w:val="000000"/>
                <w:sz w:val="24"/>
                <w:szCs w:val="24"/>
              </w:rPr>
              <w:t>　</w:t>
            </w:r>
          </w:p>
        </w:tc>
        <w:tc>
          <w:tcPr>
            <w:tcW w:w="354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拟汇出境外金额</w:t>
            </w:r>
            <w:r>
              <w:rPr>
                <w:rFonts w:ascii="Times New Roman" w:hAnsi="Times New Roman" w:eastAsia="华文仿宋" w:cs="Times New Roman"/>
                <w:color w:val="000000"/>
                <w:sz w:val="24"/>
                <w:szCs w:val="24"/>
              </w:rPr>
              <w:t>Proposed Amount to be Remitted Abroad</w:t>
            </w: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宋体" w:cs="Times New Roman"/>
                <w:color w:val="000000"/>
                <w:sz w:val="24"/>
                <w:szCs w:val="24"/>
              </w:rPr>
            </w:pPr>
            <w:r>
              <w:rPr>
                <w:rFonts w:ascii="Times New Roman" w:hAnsi="Calibri" w:eastAsia="宋体" w:cs="Times New Roman"/>
                <w:color w:val="000000"/>
                <w:sz w:val="24"/>
                <w:szCs w:val="24"/>
              </w:rPr>
              <w:t>　</w:t>
            </w:r>
          </w:p>
        </w:tc>
        <w:tc>
          <w:tcPr>
            <w:tcW w:w="29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其中拟购汇金额</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Proposed Amount to Purchase Foreign Exchange</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rPr>
          <w:trHeight w:val="844" w:hRule="atLeast"/>
        </w:trPr>
        <w:tc>
          <w:tcPr>
            <w:tcW w:w="14174" w:type="dxa"/>
            <w:gridSpan w:val="12"/>
            <w:tcBorders>
              <w:top w:val="single" w:color="auto" w:sz="4" w:space="0"/>
              <w:left w:val="single" w:color="auto" w:sz="4" w:space="0"/>
              <w:bottom w:val="single" w:color="auto" w:sz="4" w:space="0"/>
              <w:right w:val="single" w:color="auto" w:sz="4" w:space="0"/>
            </w:tcBorders>
            <w:vAlign w:val="center"/>
          </w:tcPr>
          <w:p>
            <w:pPr>
              <w:widowControl/>
              <w:spacing w:line="420" w:lineRule="exact"/>
              <w:ind w:firstLine="480" w:firstLineChars="200"/>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本机构承诺上述所填写内容及所附材料真实、准确、无虚假信息，并承诺严格按照外汇管理规定开展相关业务，接受外汇局监督、管理和检查。We declare that the information on this form and material attached is true, correct and without any false statement, we further certify that we shall strictly follow the foreign exchange regulations to carry out related business, and accept the administration, supervision and inspection by SAFE.</w:t>
            </w:r>
          </w:p>
          <w:p>
            <w:pPr>
              <w:widowControl/>
              <w:spacing w:line="420" w:lineRule="exact"/>
              <w:ind w:firstLine="3120" w:firstLineChars="1300"/>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境外基础证券发行人（签章）Issuer （Authorized Signature）：</w:t>
            </w:r>
          </w:p>
          <w:p>
            <w:pPr>
              <w:spacing w:line="42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xml:space="preserve">                                                                  年   月   日 (YYYY-MM-DD)</w:t>
            </w:r>
          </w:p>
        </w:tc>
      </w:tr>
    </w:tbl>
    <w:p>
      <w:pPr>
        <w:adjustRightInd w:val="0"/>
        <w:snapToGrid w:val="0"/>
        <w:spacing w:line="360" w:lineRule="auto"/>
        <w:rPr>
          <w:rFonts w:ascii="Times New Roman" w:hAnsi="Times New Roman" w:eastAsia="仿宋_GB2312" w:cs="Times New Roman"/>
          <w:sz w:val="30"/>
          <w:szCs w:val="30"/>
        </w:rPr>
        <w:sectPr>
          <w:footerReference r:id="rId6" w:type="default"/>
          <w:pgSz w:w="16838" w:h="11906" w:orient="landscape"/>
          <w:pgMar w:top="1797" w:right="1440" w:bottom="1797" w:left="1440" w:header="851" w:footer="992" w:gutter="0"/>
          <w:cols w:space="720" w:num="1"/>
          <w:docGrid w:type="linesAndChars" w:linePitch="312"/>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问：以新增证券为基础发行中国存托凭证，应开立什么账户？</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答：境外发行人以新增证券为基础发行中国存托凭证的，应在办理业务登记后，开立募集资金专用账户（账户性质为3400 境外机构/个人境内账户）。</w:t>
      </w:r>
    </w:p>
    <w:sectPr>
      <w:pgSz w:w="11906" w:h="16838"/>
      <w:pgMar w:top="1440" w:right="1797" w:bottom="1440" w:left="1797"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_GB2312"/>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auto"/>
    <w:pitch w:val="default"/>
    <w:sig w:usb0="800002BF" w:usb1="38CF7CFA" w:usb2="00000016" w:usb3="00000000" w:csb0="00040001" w:csb1="00000000"/>
  </w:font>
  <w:font w:name="华文楷体">
    <w:altName w:val="楷体_GB2312"/>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2</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9</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0"/>
    <w:unhideWhenUsed/>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qFormat/>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573</Words>
  <Characters>3267</Characters>
  <Lines>27</Lines>
  <Paragraphs>7</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2020-02-27T06:29:00Z</dcterms:created>
  <dc:creator>裴建君2</dc:creator>
  <cp:lastModifiedBy>李袁宁</cp:lastModifiedBy>
  <cp:lastPrinted>2020-05-15T03:40:00Z</cp:lastPrinted>
  <dcterms:modified xsi:type="dcterms:W3CDTF">2021-11-22T09:22:10Z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