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Default ContentType="image/jpeg" Extension="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Times New Roman" w:hAnsi="Times New Roman" w:eastAsia="黑体" w:cs="Times New Roman"/>
          <w:sz w:val="52"/>
          <w:szCs w:val="52"/>
        </w:rPr>
      </w:pPr>
      <w:r>
        <w:rPr>
          <w:rFonts w:ascii="Times New Roman" w:hAnsi="Times New Roman" w:eastAsia="黑体" w:cs="Times New Roman"/>
          <w:sz w:val="52"/>
          <w:szCs w:val="52"/>
        </w:rPr>
        <w:t>编号：57004</w:t>
      </w:r>
      <w:r>
        <w:rPr>
          <w:rFonts w:hint="eastAsia" w:ascii="Times New Roman" w:hAnsi="Times New Roman" w:eastAsia="黑体" w:cs="Times New Roman"/>
          <w:sz w:val="52"/>
          <w:szCs w:val="52"/>
        </w:rPr>
        <w:t xml:space="preserve">               </w:t>
      </w:r>
      <w:r>
        <w:rPr>
          <w:rFonts w:ascii="Times New Roman" w:hAnsi="Times New Roman" w:eastAsia="黑体" w:cs="Times New Roman"/>
          <w:kern w:val="2"/>
          <w:sz w:val="52"/>
          <w:szCs w:val="52"/>
          <w:lang w:val="en-US" w:eastAsia="zh-CN" w:bidi="ar-SA"/>
        </w:rPr>
        <w:pict>
          <v:shape id="图片框 1025" o:spid="_x0000_s1026" type="#_x0000_t75" style="height:69.75pt;width:87.05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p>
    <w:p>
      <w:pPr>
        <w:ind w:right="300"/>
        <w:jc w:val="center"/>
        <w:rPr>
          <w:rFonts w:ascii="Times New Roman" w:hAnsi="Times New Roman" w:eastAsia="黑体" w:cs="Times New Roman"/>
          <w:sz w:val="30"/>
          <w:szCs w:val="30"/>
        </w:rPr>
      </w:pPr>
    </w:p>
    <w:p>
      <w:pPr>
        <w:ind w:right="300"/>
        <w:jc w:val="center"/>
        <w:rPr>
          <w:rFonts w:ascii="Times New Roman" w:hAnsi="Times New Roman" w:eastAsia="黑体" w:cs="Times New Roman"/>
          <w:sz w:val="30"/>
          <w:szCs w:val="30"/>
        </w:rPr>
      </w:pPr>
    </w:p>
    <w:p>
      <w:pPr>
        <w:ind w:right="300"/>
        <w:jc w:val="center"/>
        <w:rPr>
          <w:rFonts w:ascii="Times New Roman" w:hAnsi="Times New Roman" w:eastAsia="黑体" w:cs="Times New Roman"/>
          <w:sz w:val="30"/>
          <w:szCs w:val="30"/>
        </w:rPr>
      </w:pPr>
    </w:p>
    <w:p>
      <w:pPr>
        <w:ind w:right="300"/>
        <w:jc w:val="center"/>
        <w:rPr>
          <w:rFonts w:ascii="Times New Roman" w:hAnsi="Times New Roman" w:eastAsia="黑体" w:cs="Times New Roman"/>
          <w:sz w:val="52"/>
          <w:szCs w:val="52"/>
        </w:rPr>
      </w:pPr>
    </w:p>
    <w:p>
      <w:pPr>
        <w:ind w:right="300"/>
        <w:jc w:val="center"/>
        <w:rPr>
          <w:rFonts w:ascii="Times New Roman" w:hAnsi="Times New Roman" w:eastAsia="黑体" w:cs="Times New Roman"/>
          <w:sz w:val="52"/>
          <w:szCs w:val="52"/>
        </w:rPr>
      </w:pPr>
      <w:r>
        <w:rPr>
          <w:rFonts w:ascii="Times New Roman" w:hAnsi="Times New Roman" w:eastAsia="黑体" w:cs="Times New Roman"/>
          <w:sz w:val="52"/>
          <w:szCs w:val="52"/>
        </w:rPr>
        <w:t>“跨境从事有价证券、衍生产品发行、交易外汇登记”行政审批</w:t>
      </w:r>
    </w:p>
    <w:p>
      <w:pPr>
        <w:ind w:right="300"/>
        <w:jc w:val="center"/>
        <w:rPr>
          <w:rFonts w:ascii="Times New Roman" w:hAnsi="Times New Roman" w:eastAsia="黑体" w:cs="Times New Roman"/>
          <w:sz w:val="52"/>
          <w:szCs w:val="52"/>
        </w:rPr>
      </w:pPr>
      <w:r>
        <w:rPr>
          <w:rFonts w:ascii="Times New Roman" w:hAnsi="Times New Roman" w:eastAsia="黑体" w:cs="Times New Roman"/>
          <w:sz w:val="52"/>
          <w:szCs w:val="52"/>
        </w:rPr>
        <w:t>服务指南</w:t>
      </w: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发布日期：2020年</w:t>
      </w:r>
      <w:r>
        <w:rPr>
          <w:rFonts w:hint="eastAsia" w:ascii="Times New Roman" w:hAnsi="Times New Roman" w:eastAsia="仿宋_GB2312" w:cs="Times New Roman"/>
          <w:sz w:val="30"/>
          <w:szCs w:val="30"/>
        </w:rPr>
        <w:t>11</w:t>
      </w:r>
      <w:r>
        <w:rPr>
          <w:rFonts w:ascii="Times New Roman" w:hAnsi="Times New Roman" w:eastAsia="仿宋_GB2312" w:cs="Times New Roman"/>
          <w:sz w:val="30"/>
          <w:szCs w:val="30"/>
        </w:rPr>
        <w:t>月</w:t>
      </w:r>
      <w:r>
        <w:rPr>
          <w:rFonts w:hint="eastAsia" w:ascii="Times New Roman" w:hAnsi="Times New Roman" w:eastAsia="仿宋_GB2312" w:cs="Times New Roman"/>
          <w:sz w:val="30"/>
          <w:szCs w:val="30"/>
          <w:lang w:val="en-US" w:eastAsia="zh-CN"/>
        </w:rPr>
        <w:t>20</w:t>
      </w:r>
      <w:r>
        <w:rPr>
          <w:rFonts w:ascii="Times New Roman" w:hAnsi="Times New Roman" w:eastAsia="仿宋_GB2312" w:cs="Times New Roman"/>
          <w:sz w:val="30"/>
          <w:szCs w:val="30"/>
        </w:rPr>
        <w:t>日</w:t>
      </w:r>
    </w:p>
    <w:p>
      <w:pPr>
        <w:ind w:right="300"/>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实施日期：2020年</w:t>
      </w:r>
      <w:r>
        <w:rPr>
          <w:rFonts w:hint="eastAsia" w:ascii="Times New Roman" w:hAnsi="Times New Roman" w:eastAsia="仿宋_GB2312" w:cs="Times New Roman"/>
          <w:sz w:val="30"/>
          <w:szCs w:val="30"/>
        </w:rPr>
        <w:t>11</w:t>
      </w:r>
      <w:r>
        <w:rPr>
          <w:rFonts w:ascii="Times New Roman" w:hAnsi="Times New Roman" w:eastAsia="仿宋_GB2312" w:cs="Times New Roman"/>
          <w:sz w:val="30"/>
          <w:szCs w:val="30"/>
        </w:rPr>
        <w:t>月</w:t>
      </w:r>
      <w:r>
        <w:rPr>
          <w:rFonts w:hint="eastAsia" w:ascii="Times New Roman" w:hAnsi="Times New Roman" w:eastAsia="仿宋_GB2312" w:cs="Times New Roman"/>
          <w:sz w:val="30"/>
          <w:szCs w:val="30"/>
          <w:lang w:val="en-US" w:eastAsia="zh-CN"/>
        </w:rPr>
        <w:t>20</w:t>
      </w:r>
      <w:r>
        <w:rPr>
          <w:rFonts w:ascii="Times New Roman" w:hAnsi="Times New Roman" w:eastAsia="仿宋_GB2312" w:cs="Times New Roman"/>
          <w:sz w:val="30"/>
          <w:szCs w:val="30"/>
        </w:rPr>
        <w:t>日</w:t>
      </w:r>
    </w:p>
    <w:p>
      <w:pPr>
        <w:ind w:right="300"/>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发布机构：国家外汇管理局</w:t>
      </w:r>
    </w:p>
    <w:p>
      <w:pPr>
        <w:ind w:right="300"/>
        <w:rPr>
          <w:rFonts w:ascii="Times New Roman" w:hAnsi="Times New Roman" w:eastAsia="仿宋_GB2312" w:cs="Times New Roman"/>
          <w:sz w:val="30"/>
          <w:szCs w:val="30"/>
        </w:rPr>
      </w:pPr>
    </w:p>
    <w:p>
      <w:pPr>
        <w:ind w:right="300"/>
        <w:rPr>
          <w:rFonts w:ascii="Times New Roman" w:hAnsi="Times New Roman" w:eastAsia="仿宋_GB2312" w:cs="Times New Roman"/>
          <w:sz w:val="30"/>
          <w:szCs w:val="30"/>
        </w:rPr>
        <w:sectPr>
          <w:footerReference r:id="rId4" w:type="default"/>
          <w:pgSz w:w="11906" w:h="16838"/>
          <w:pgMar w:top="1440" w:right="1800" w:bottom="1440" w:left="1800" w:header="851" w:footer="992" w:gutter="0"/>
          <w:cols w:space="720" w:num="1"/>
          <w:docGrid w:type="lines" w:linePitch="312"/>
        </w:sectPr>
      </w:pPr>
    </w:p>
    <w:p>
      <w:pPr>
        <w:adjustRightInd w:val="0"/>
        <w:snapToGrid w:val="0"/>
        <w:spacing w:line="360" w:lineRule="auto"/>
        <w:rPr>
          <w:rFonts w:ascii="Times New Roman" w:hAnsi="Times New Roman" w:eastAsia="黑体" w:cs="Times New Roman"/>
          <w:sz w:val="30"/>
          <w:szCs w:val="30"/>
        </w:rPr>
      </w:pPr>
      <w:r>
        <w:rPr>
          <w:rFonts w:ascii="Times New Roman" w:hAnsi="Times New Roman" w:eastAsia="黑体" w:cs="Times New Roman"/>
          <w:sz w:val="30"/>
          <w:szCs w:val="30"/>
        </w:rPr>
        <w:t>一、项目信息</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项目名称：跨境从事有价证券、衍生产品发行、交易外汇登记；</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项目编号：57004；</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审批类别：行政许可；</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审查类型：前审后批。</w:t>
      </w:r>
    </w:p>
    <w:p>
      <w:pPr>
        <w:adjustRightInd w:val="0"/>
        <w:snapToGrid w:val="0"/>
        <w:spacing w:line="360" w:lineRule="auto"/>
        <w:ind w:firstLine="585"/>
        <w:rPr>
          <w:rFonts w:ascii="Times New Roman" w:hAnsi="Times New Roman" w:eastAsia="黑体" w:cs="Times New Roman"/>
          <w:sz w:val="30"/>
          <w:szCs w:val="30"/>
        </w:rPr>
      </w:pPr>
      <w:r>
        <w:rPr>
          <w:rFonts w:ascii="Times New Roman" w:hAnsi="Times New Roman" w:eastAsia="黑体" w:cs="Times New Roman"/>
          <w:sz w:val="30"/>
          <w:szCs w:val="30"/>
        </w:rPr>
        <w:t>二、适用范围</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本指南适用于“跨境从事有价证券、衍生产品发行、交易外汇登记”的申请和办理。</w:t>
      </w:r>
    </w:p>
    <w:p>
      <w:pPr>
        <w:adjustRightInd w:val="0"/>
        <w:snapToGrid w:val="0"/>
        <w:spacing w:line="360" w:lineRule="auto"/>
        <w:ind w:firstLine="585"/>
        <w:rPr>
          <w:rFonts w:ascii="Times New Roman" w:hAnsi="Times New Roman" w:eastAsia="黑体" w:cs="Times New Roman"/>
          <w:sz w:val="30"/>
          <w:szCs w:val="30"/>
        </w:rPr>
      </w:pPr>
      <w:r>
        <w:rPr>
          <w:rFonts w:ascii="Times New Roman" w:hAnsi="Times New Roman" w:eastAsia="黑体" w:cs="Times New Roman"/>
          <w:sz w:val="30"/>
          <w:szCs w:val="30"/>
        </w:rPr>
        <w:t>三、设定依据</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中华人民共和国外汇管理条例》（国务院令第532号）第十六条：“……境外机构、境外个人在境内从事有价证券或者衍生产品发行、交易，应当遵守国家关于市场准入的规定，并按照国务院外汇管理部门的规定办理登记”。</w:t>
      </w:r>
    </w:p>
    <w:p>
      <w:pPr>
        <w:adjustRightInd w:val="0"/>
        <w:snapToGrid w:val="0"/>
        <w:spacing w:line="360" w:lineRule="auto"/>
        <w:ind w:firstLine="585"/>
        <w:rPr>
          <w:rFonts w:ascii="Times New Roman" w:hAnsi="Times New Roman" w:eastAsia="黑体" w:cs="Times New Roman"/>
          <w:sz w:val="30"/>
          <w:szCs w:val="30"/>
        </w:rPr>
      </w:pPr>
      <w:r>
        <w:rPr>
          <w:rFonts w:ascii="Times New Roman" w:hAnsi="Times New Roman" w:eastAsia="黑体" w:cs="Times New Roman"/>
          <w:sz w:val="30"/>
          <w:szCs w:val="30"/>
        </w:rPr>
        <w:t>四、</w:t>
      </w:r>
      <w:r>
        <w:rPr>
          <w:rFonts w:hint="eastAsia" w:ascii="Times New Roman" w:hAnsi="Times New Roman" w:eastAsia="黑体" w:cs="Times New Roman"/>
          <w:sz w:val="30"/>
          <w:szCs w:val="30"/>
        </w:rPr>
        <w:t>境外机构在境内发行股票或中国存托凭证登记</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（一）办理依据</w:t>
      </w:r>
    </w:p>
    <w:p>
      <w:pPr>
        <w:widowControl/>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1.《中华人民共和国外汇管理条例》（中华人民共和国国务院令第532号）。</w:t>
      </w:r>
    </w:p>
    <w:p>
      <w:pPr>
        <w:widowControl/>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2.《国务院办公厅转发证监会关于开展创新企业境内发行股票或存托凭证试点若干意见的通知》（国办发〔2018〕21号）。</w:t>
      </w:r>
    </w:p>
    <w:p>
      <w:pPr>
        <w:widowControl/>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3.《存托凭证跨境资金管理办法（试行）》（中国人民银行国家外汇管理局公告</w:t>
      </w:r>
      <w:r>
        <w:rPr>
          <w:rFonts w:ascii="Times New Roman" w:hAnsi="宋体" w:eastAsia="宋体" w:cs="Times New Roman"/>
          <w:sz w:val="30"/>
          <w:szCs w:val="30"/>
        </w:rPr>
        <w:t>﹝</w:t>
      </w:r>
      <w:r>
        <w:rPr>
          <w:rFonts w:ascii="Times New Roman" w:hAnsi="Times New Roman" w:eastAsia="仿宋_GB2312" w:cs="Times New Roman"/>
          <w:sz w:val="30"/>
          <w:szCs w:val="30"/>
        </w:rPr>
        <w:t>2019</w:t>
      </w:r>
      <w:r>
        <w:rPr>
          <w:rFonts w:ascii="Times New Roman" w:hAnsi="宋体" w:eastAsia="宋体" w:cs="Times New Roman"/>
          <w:sz w:val="30"/>
          <w:szCs w:val="30"/>
        </w:rPr>
        <w:t>﹞</w:t>
      </w:r>
      <w:r>
        <w:rPr>
          <w:rFonts w:ascii="Times New Roman" w:hAnsi="仿宋_GB2312" w:eastAsia="仿宋_GB2312" w:cs="Times New Roman"/>
          <w:sz w:val="30"/>
          <w:szCs w:val="30"/>
        </w:rPr>
        <w:t>第</w:t>
      </w:r>
      <w:r>
        <w:rPr>
          <w:rFonts w:ascii="Times New Roman" w:hAnsi="Times New Roman" w:eastAsia="仿宋_GB2312" w:cs="Times New Roman"/>
          <w:sz w:val="30"/>
          <w:szCs w:val="30"/>
        </w:rPr>
        <w:t>8号）。</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（二）受理机构</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境外发行人上市境内证券交易所所在地国家外汇管理局分局或外汇管理部。</w:t>
      </w:r>
    </w:p>
    <w:p>
      <w:pPr>
        <w:adjustRightInd w:val="0"/>
        <w:snapToGrid w:val="0"/>
        <w:spacing w:line="360" w:lineRule="auto"/>
        <w:ind w:firstLine="600" w:firstLineChars="200"/>
        <w:outlineLvl w:val="0"/>
        <w:rPr>
          <w:rFonts w:ascii="Times New Roman" w:hAnsi="Times New Roman" w:eastAsia="黑体" w:cs="Times New Roman"/>
          <w:sz w:val="30"/>
          <w:szCs w:val="30"/>
        </w:rPr>
      </w:pPr>
      <w:r>
        <w:rPr>
          <w:rFonts w:ascii="Times New Roman" w:hAnsi="Times New Roman" w:eastAsia="黑体" w:cs="Times New Roman"/>
          <w:sz w:val="30"/>
          <w:szCs w:val="30"/>
        </w:rPr>
        <w:t>（三）决定机构</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境外发行人上市境内证券交易所所在地国家外汇管理局分局或外汇管理部。</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（四）审批数量</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无数量限制。</w:t>
      </w:r>
    </w:p>
    <w:p>
      <w:pPr>
        <w:adjustRightInd w:val="0"/>
        <w:snapToGrid w:val="0"/>
        <w:spacing w:line="360" w:lineRule="auto"/>
        <w:ind w:firstLine="600" w:firstLineChars="200"/>
        <w:outlineLvl w:val="0"/>
        <w:rPr>
          <w:rFonts w:ascii="Times New Roman" w:hAnsi="Times New Roman" w:eastAsia="黑体" w:cs="Times New Roman"/>
          <w:sz w:val="30"/>
          <w:szCs w:val="30"/>
        </w:rPr>
      </w:pPr>
      <w:r>
        <w:rPr>
          <w:rFonts w:ascii="Times New Roman" w:hAnsi="Times New Roman" w:eastAsia="黑体" w:cs="Times New Roman"/>
          <w:sz w:val="30"/>
          <w:szCs w:val="30"/>
        </w:rPr>
        <w:t>（五）办事条件</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境外发行人以新增证券为基础发行中国存托凭证，应在获得证监会核准发行后10个工作日内，委托其境内主承销商（或境内相关代理机构）办理登记。</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禁止性要求：如符合上述条件，不存在不予许可的情况。</w:t>
      </w:r>
    </w:p>
    <w:p>
      <w:pPr>
        <w:adjustRightInd w:val="0"/>
        <w:snapToGrid w:val="0"/>
        <w:spacing w:line="360" w:lineRule="auto"/>
        <w:ind w:firstLine="600" w:firstLineChars="200"/>
        <w:outlineLvl w:val="0"/>
        <w:rPr>
          <w:rFonts w:ascii="Times New Roman" w:hAnsi="Times New Roman" w:eastAsia="黑体" w:cs="Times New Roman"/>
          <w:sz w:val="30"/>
          <w:szCs w:val="30"/>
        </w:rPr>
      </w:pPr>
      <w:r>
        <w:rPr>
          <w:rFonts w:ascii="Times New Roman" w:hAnsi="Times New Roman" w:eastAsia="黑体" w:cs="Times New Roman"/>
          <w:sz w:val="30"/>
          <w:szCs w:val="30"/>
        </w:rPr>
        <w:t>（六）申请材料</w:t>
      </w:r>
    </w:p>
    <w:tbl>
      <w:tblPr>
        <w:tblW w:w="84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118"/>
        <w:gridCol w:w="992"/>
        <w:gridCol w:w="567"/>
        <w:gridCol w:w="851"/>
        <w:gridCol w:w="709"/>
        <w:gridCol w:w="1701"/>
      </w:tblGrid>
      <w:tr>
        <w:tc>
          <w:tcPr>
            <w:tcW w:w="534" w:type="dxa"/>
            <w:vAlign w:val="center"/>
          </w:tcPr>
          <w:p>
            <w:pPr>
              <w:contextualSpacing/>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序号</w:t>
            </w:r>
          </w:p>
        </w:tc>
        <w:tc>
          <w:tcPr>
            <w:tcW w:w="3118" w:type="dxa"/>
            <w:vAlign w:val="center"/>
          </w:tcPr>
          <w:p>
            <w:pPr>
              <w:contextualSpacing/>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提交材料名称</w:t>
            </w:r>
          </w:p>
        </w:tc>
        <w:tc>
          <w:tcPr>
            <w:tcW w:w="992" w:type="dxa"/>
            <w:vAlign w:val="center"/>
          </w:tcPr>
          <w:p>
            <w:pPr>
              <w:contextualSpacing/>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原件/复印件</w:t>
            </w:r>
          </w:p>
        </w:tc>
        <w:tc>
          <w:tcPr>
            <w:tcW w:w="567" w:type="dxa"/>
            <w:vAlign w:val="center"/>
          </w:tcPr>
          <w:p>
            <w:pPr>
              <w:contextualSpacing/>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份数</w:t>
            </w:r>
          </w:p>
        </w:tc>
        <w:tc>
          <w:tcPr>
            <w:tcW w:w="851" w:type="dxa"/>
            <w:vAlign w:val="center"/>
          </w:tcPr>
          <w:p>
            <w:pPr>
              <w:contextualSpacing/>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纸质/电子</w:t>
            </w:r>
          </w:p>
        </w:tc>
        <w:tc>
          <w:tcPr>
            <w:tcW w:w="709" w:type="dxa"/>
            <w:vAlign w:val="center"/>
          </w:tcPr>
          <w:p>
            <w:pPr>
              <w:contextualSpacing/>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要求</w:t>
            </w:r>
          </w:p>
        </w:tc>
        <w:tc>
          <w:tcPr>
            <w:tcW w:w="1701" w:type="dxa"/>
            <w:vAlign w:val="center"/>
          </w:tcPr>
          <w:p>
            <w:pPr>
              <w:contextualSpacing/>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备注</w:t>
            </w:r>
          </w:p>
        </w:tc>
      </w:tr>
      <w:tr>
        <w:tc>
          <w:tcPr>
            <w:tcW w:w="534" w:type="dxa"/>
            <w:vAlign w:val="center"/>
          </w:tcPr>
          <w:p>
            <w:pPr>
              <w:contextualSpacing/>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3118" w:type="dxa"/>
            <w:vAlign w:val="center"/>
          </w:tcPr>
          <w:p>
            <w:pPr>
              <w:contextualSpacing/>
              <w:jc w:val="left"/>
              <w:rPr>
                <w:rFonts w:ascii="Times New Roman" w:hAnsi="Times New Roman" w:eastAsia="仿宋_GB2312" w:cs="Times New Roman"/>
                <w:sz w:val="24"/>
                <w:szCs w:val="24"/>
              </w:rPr>
            </w:pPr>
            <w:r>
              <w:rPr>
                <w:rFonts w:hint="eastAsia" w:ascii="Times New Roman" w:hAnsi="Times New Roman" w:eastAsia="仿宋_GB2312" w:cs="Times New Roman"/>
                <w:color w:val="000000"/>
                <w:sz w:val="24"/>
                <w:szCs w:val="24"/>
              </w:rPr>
              <w:t>书面申请</w:t>
            </w:r>
            <w:r>
              <w:rPr>
                <w:rFonts w:ascii="Times New Roman" w:hAnsi="Times New Roman" w:eastAsia="仿宋_GB2312" w:cs="Times New Roman"/>
                <w:color w:val="000000"/>
                <w:sz w:val="24"/>
                <w:szCs w:val="24"/>
              </w:rPr>
              <w:t>，并附《以新增证券为基础的中国存托凭证发行登记表》</w:t>
            </w:r>
          </w:p>
        </w:tc>
        <w:tc>
          <w:tcPr>
            <w:tcW w:w="992" w:type="dxa"/>
            <w:vAlign w:val="center"/>
          </w:tcPr>
          <w:p>
            <w:pPr>
              <w:contextualSpacing/>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加盖公章或有权签字人签字的原件</w:t>
            </w:r>
          </w:p>
        </w:tc>
        <w:tc>
          <w:tcPr>
            <w:tcW w:w="567" w:type="dxa"/>
            <w:vAlign w:val="center"/>
          </w:tcPr>
          <w:p>
            <w:pPr>
              <w:contextualSpacing/>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1" w:type="dxa"/>
            <w:vAlign w:val="center"/>
          </w:tcPr>
          <w:p>
            <w:pPr>
              <w:contextualSpacing/>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709" w:type="dxa"/>
            <w:vAlign w:val="center"/>
          </w:tcPr>
          <w:p>
            <w:pPr>
              <w:contextualSpacing/>
              <w:jc w:val="left"/>
              <w:rPr>
                <w:rFonts w:ascii="Times New Roman" w:hAnsi="Times New Roman" w:eastAsia="仿宋_GB2312" w:cs="Times New Roman"/>
                <w:sz w:val="24"/>
                <w:szCs w:val="24"/>
              </w:rPr>
            </w:pPr>
          </w:p>
        </w:tc>
        <w:tc>
          <w:tcPr>
            <w:tcW w:w="1701" w:type="dxa"/>
            <w:vAlign w:val="center"/>
          </w:tcPr>
          <w:p>
            <w:pPr>
              <w:contextualSpacing/>
              <w:jc w:val="left"/>
              <w:rPr>
                <w:rFonts w:ascii="Times New Roman" w:hAnsi="Times New Roman" w:eastAsia="仿宋_GB2312" w:cs="Times New Roman"/>
                <w:sz w:val="24"/>
                <w:szCs w:val="24"/>
              </w:rPr>
            </w:pPr>
          </w:p>
        </w:tc>
      </w:tr>
      <w:tr>
        <w:tc>
          <w:tcPr>
            <w:tcW w:w="534" w:type="dxa"/>
            <w:vAlign w:val="center"/>
          </w:tcPr>
          <w:p>
            <w:pPr>
              <w:contextualSpacing/>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3118" w:type="dxa"/>
            <w:vAlign w:val="center"/>
          </w:tcPr>
          <w:p>
            <w:pPr>
              <w:contextualSpacing/>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证监会核准发行中国存托凭证的许可文件</w:t>
            </w:r>
          </w:p>
        </w:tc>
        <w:tc>
          <w:tcPr>
            <w:tcW w:w="992" w:type="dxa"/>
            <w:vAlign w:val="center"/>
          </w:tcPr>
          <w:p>
            <w:pPr>
              <w:contextualSpacing/>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加盖公章的复印件</w:t>
            </w:r>
          </w:p>
        </w:tc>
        <w:tc>
          <w:tcPr>
            <w:tcW w:w="567" w:type="dxa"/>
            <w:vAlign w:val="center"/>
          </w:tcPr>
          <w:p>
            <w:pPr>
              <w:contextualSpacing/>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1" w:type="dxa"/>
            <w:vAlign w:val="center"/>
          </w:tcPr>
          <w:p>
            <w:pPr>
              <w:contextualSpacing/>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709" w:type="dxa"/>
            <w:vAlign w:val="center"/>
          </w:tcPr>
          <w:p>
            <w:pPr>
              <w:contextualSpacing/>
              <w:jc w:val="left"/>
              <w:rPr>
                <w:rFonts w:ascii="Times New Roman" w:hAnsi="Times New Roman" w:eastAsia="仿宋_GB2312" w:cs="Times New Roman"/>
                <w:sz w:val="24"/>
                <w:szCs w:val="24"/>
              </w:rPr>
            </w:pPr>
          </w:p>
        </w:tc>
        <w:tc>
          <w:tcPr>
            <w:tcW w:w="1701" w:type="dxa"/>
            <w:vAlign w:val="top"/>
          </w:tcPr>
          <w:p>
            <w:pPr>
              <w:contextualSpacing/>
              <w:jc w:val="left"/>
              <w:rPr>
                <w:rFonts w:ascii="Times New Roman" w:hAnsi="Times New Roman" w:eastAsia="仿宋_GB2312" w:cs="Times New Roman"/>
                <w:sz w:val="24"/>
                <w:szCs w:val="24"/>
              </w:rPr>
            </w:pPr>
          </w:p>
        </w:tc>
      </w:tr>
      <w:tr>
        <w:tc>
          <w:tcPr>
            <w:tcW w:w="534" w:type="dxa"/>
            <w:vAlign w:val="center"/>
          </w:tcPr>
          <w:p>
            <w:pPr>
              <w:contextualSpacing/>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3118" w:type="dxa"/>
            <w:vAlign w:val="center"/>
          </w:tcPr>
          <w:p>
            <w:pPr>
              <w:contextualSpacing/>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境外发行人委托境内主承销商（或境内相关代理机构）办理中国存托凭证登记的委托代理协议</w:t>
            </w:r>
          </w:p>
        </w:tc>
        <w:tc>
          <w:tcPr>
            <w:tcW w:w="992" w:type="dxa"/>
            <w:vAlign w:val="center"/>
          </w:tcPr>
          <w:p>
            <w:pPr>
              <w:contextualSpacing/>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加盖公章的复印件</w:t>
            </w:r>
          </w:p>
        </w:tc>
        <w:tc>
          <w:tcPr>
            <w:tcW w:w="567" w:type="dxa"/>
            <w:vAlign w:val="center"/>
          </w:tcPr>
          <w:p>
            <w:pPr>
              <w:contextualSpacing/>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1" w:type="dxa"/>
            <w:vAlign w:val="center"/>
          </w:tcPr>
          <w:p>
            <w:pPr>
              <w:contextualSpacing/>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709" w:type="dxa"/>
            <w:vAlign w:val="center"/>
          </w:tcPr>
          <w:p>
            <w:pPr>
              <w:contextualSpacing/>
              <w:jc w:val="left"/>
              <w:rPr>
                <w:rFonts w:ascii="Times New Roman" w:hAnsi="Times New Roman" w:eastAsia="仿宋_GB2312" w:cs="Times New Roman"/>
                <w:sz w:val="24"/>
                <w:szCs w:val="24"/>
              </w:rPr>
            </w:pPr>
          </w:p>
        </w:tc>
        <w:tc>
          <w:tcPr>
            <w:tcW w:w="1701" w:type="dxa"/>
            <w:vAlign w:val="top"/>
          </w:tcPr>
          <w:p>
            <w:pPr>
              <w:contextualSpacing/>
              <w:jc w:val="left"/>
              <w:rPr>
                <w:rFonts w:ascii="Times New Roman" w:hAnsi="Times New Roman" w:eastAsia="仿宋_GB2312" w:cs="Times New Roman"/>
                <w:sz w:val="24"/>
                <w:szCs w:val="24"/>
              </w:rPr>
            </w:pPr>
          </w:p>
        </w:tc>
      </w:tr>
    </w:tbl>
    <w:p>
      <w:pPr>
        <w:adjustRightInd w:val="0"/>
        <w:snapToGrid w:val="0"/>
        <w:spacing w:line="360" w:lineRule="auto"/>
        <w:ind w:firstLine="600" w:firstLineChars="200"/>
        <w:rPr>
          <w:rFonts w:ascii="Times New Roman" w:hAnsi="Times New Roman" w:eastAsia="黑体" w:cs="Times New Roman"/>
          <w:sz w:val="30"/>
          <w:szCs w:val="30"/>
        </w:rPr>
      </w:pP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（七）申请接受</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境内主承销商（或境内相关代理机构）可通过境外发行人上市境内证券交易所所在地国家外汇管理局分局或外汇管理部业务窗口提交材料。</w:t>
      </w:r>
    </w:p>
    <w:p>
      <w:pPr>
        <w:adjustRightInd w:val="0"/>
        <w:snapToGrid w:val="0"/>
        <w:spacing w:line="360" w:lineRule="auto"/>
        <w:ind w:firstLine="600" w:firstLineChars="200"/>
        <w:outlineLvl w:val="0"/>
        <w:rPr>
          <w:rFonts w:ascii="Times New Roman" w:hAnsi="Times New Roman" w:eastAsia="黑体" w:cs="Times New Roman"/>
          <w:sz w:val="30"/>
          <w:szCs w:val="30"/>
        </w:rPr>
      </w:pPr>
      <w:r>
        <w:rPr>
          <w:rFonts w:ascii="Times New Roman" w:hAnsi="Times New Roman" w:eastAsia="黑体" w:cs="Times New Roman"/>
          <w:sz w:val="30"/>
          <w:szCs w:val="30"/>
        </w:rPr>
        <w:t>（八）基本办理流程</w:t>
      </w:r>
    </w:p>
    <w:p>
      <w:pPr>
        <w:adjustRightInd w:val="0"/>
        <w:snapToGrid w:val="0"/>
        <w:spacing w:line="360" w:lineRule="auto"/>
        <w:ind w:firstLine="600" w:firstLineChars="200"/>
        <w:outlineLvl w:val="0"/>
        <w:rPr>
          <w:rFonts w:ascii="Times New Roman" w:hAnsi="Times New Roman" w:eastAsia="仿宋_GB2312" w:cs="Times New Roman"/>
          <w:sz w:val="30"/>
          <w:szCs w:val="30"/>
        </w:rPr>
      </w:pPr>
      <w:r>
        <w:rPr>
          <w:rFonts w:ascii="Times New Roman" w:hAnsi="Times New Roman" w:eastAsia="仿宋_GB2312" w:cs="Times New Roman"/>
          <w:sz w:val="30"/>
          <w:szCs w:val="30"/>
        </w:rPr>
        <w:t>1.申请人提交申请；</w:t>
      </w:r>
    </w:p>
    <w:p>
      <w:pPr>
        <w:adjustRightInd w:val="0"/>
        <w:snapToGrid w:val="0"/>
        <w:spacing w:line="360" w:lineRule="auto"/>
        <w:ind w:firstLine="600" w:firstLineChars="200"/>
        <w:outlineLvl w:val="0"/>
        <w:rPr>
          <w:rFonts w:ascii="Times New Roman" w:hAnsi="Times New Roman" w:eastAsia="仿宋_GB2312" w:cs="Times New Roman"/>
          <w:sz w:val="30"/>
          <w:szCs w:val="30"/>
        </w:rPr>
      </w:pPr>
      <w:r>
        <w:rPr>
          <w:rFonts w:ascii="Times New Roman" w:hAnsi="Times New Roman" w:eastAsia="仿宋_GB2312" w:cs="Times New Roman"/>
          <w:sz w:val="30"/>
          <w:szCs w:val="30"/>
        </w:rPr>
        <w:t>2.决定是否予以受理；</w:t>
      </w:r>
    </w:p>
    <w:p>
      <w:pPr>
        <w:adjustRightInd w:val="0"/>
        <w:snapToGrid w:val="0"/>
        <w:spacing w:line="360" w:lineRule="auto"/>
        <w:ind w:firstLine="600" w:firstLineChars="200"/>
        <w:outlineLvl w:val="0"/>
        <w:rPr>
          <w:rFonts w:ascii="Times New Roman" w:hAnsi="Times New Roman" w:eastAsia="仿宋_GB2312" w:cs="Times New Roman"/>
          <w:sz w:val="30"/>
          <w:szCs w:val="30"/>
        </w:rPr>
      </w:pPr>
      <w:r>
        <w:rPr>
          <w:rFonts w:ascii="Times New Roman" w:hAnsi="Times New Roman" w:eastAsia="仿宋_GB2312" w:cs="Times New Roman"/>
          <w:sz w:val="30"/>
          <w:szCs w:val="30"/>
        </w:rPr>
        <w:t>3.不予受理的，出具不予受理通知书；</w:t>
      </w:r>
    </w:p>
    <w:p>
      <w:pPr>
        <w:adjustRightInd w:val="0"/>
        <w:snapToGrid w:val="0"/>
        <w:spacing w:line="360" w:lineRule="auto"/>
        <w:ind w:firstLine="600" w:firstLineChars="200"/>
        <w:outlineLvl w:val="0"/>
        <w:rPr>
          <w:rFonts w:ascii="Times New Roman" w:hAnsi="Times New Roman" w:eastAsia="仿宋_GB2312" w:cs="Times New Roman"/>
          <w:sz w:val="30"/>
          <w:szCs w:val="30"/>
        </w:rPr>
      </w:pPr>
      <w:r>
        <w:rPr>
          <w:rFonts w:ascii="Times New Roman" w:hAnsi="Times New Roman" w:eastAsia="仿宋_GB2312" w:cs="Times New Roman"/>
          <w:sz w:val="30"/>
          <w:szCs w:val="30"/>
        </w:rPr>
        <w:t>4.材料不全或不符合法定形式的，一次性告知补正材料，并出具《行政审批补正材料通知书》；根据申请材料及补正情况，予以受理的，出具受理通知书，按程序进行审核；</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5.不予许可的，出具不予许可通知书；许可的，向申请人出具相关业务办理凭证。</w:t>
      </w:r>
    </w:p>
    <w:p>
      <w:pPr>
        <w:adjustRightInd w:val="0"/>
        <w:snapToGrid w:val="0"/>
        <w:spacing w:line="360" w:lineRule="auto"/>
        <w:ind w:firstLine="600" w:firstLineChars="200"/>
        <w:outlineLvl w:val="0"/>
        <w:rPr>
          <w:rFonts w:ascii="Times New Roman" w:hAnsi="Times New Roman" w:eastAsia="黑体" w:cs="Times New Roman"/>
          <w:sz w:val="30"/>
          <w:szCs w:val="30"/>
        </w:rPr>
      </w:pPr>
      <w:r>
        <w:rPr>
          <w:rFonts w:ascii="Times New Roman" w:hAnsi="Times New Roman" w:eastAsia="黑体" w:cs="Times New Roman"/>
          <w:sz w:val="30"/>
          <w:szCs w:val="30"/>
        </w:rPr>
        <w:t>（九）办理方式</w:t>
      </w:r>
    </w:p>
    <w:p>
      <w:pPr>
        <w:adjustRightInd w:val="0"/>
        <w:snapToGrid w:val="0"/>
        <w:spacing w:line="360" w:lineRule="auto"/>
        <w:ind w:firstLine="600" w:firstLineChars="200"/>
        <w:rPr>
          <w:rFonts w:ascii="Times New Roman" w:hAnsi="Times New Roman" w:eastAsia="仿宋_GB2312" w:cs="Times New Roman"/>
          <w:sz w:val="30"/>
        </w:rPr>
      </w:pPr>
      <w:r>
        <w:rPr>
          <w:rFonts w:ascii="Times New Roman" w:hAnsi="Times New Roman" w:eastAsia="仿宋_GB2312" w:cs="Times New Roman"/>
          <w:sz w:val="30"/>
          <w:szCs w:val="30"/>
        </w:rPr>
        <w:t>一般程序：申请、告知补正、受理、审核、办理登记或不予许可、出具相关业务办理凭证。</w:t>
      </w:r>
    </w:p>
    <w:p>
      <w:pPr>
        <w:adjustRightInd w:val="0"/>
        <w:snapToGrid w:val="0"/>
        <w:spacing w:line="360" w:lineRule="auto"/>
        <w:ind w:firstLine="600" w:firstLineChars="200"/>
        <w:outlineLvl w:val="0"/>
        <w:rPr>
          <w:rFonts w:ascii="Times New Roman" w:hAnsi="Times New Roman" w:eastAsia="黑体" w:cs="Times New Roman"/>
          <w:sz w:val="30"/>
          <w:szCs w:val="30"/>
        </w:rPr>
      </w:pPr>
      <w:r>
        <w:rPr>
          <w:rFonts w:ascii="Times New Roman" w:hAnsi="Times New Roman" w:eastAsia="黑体" w:cs="Times New Roman"/>
          <w:sz w:val="30"/>
          <w:szCs w:val="30"/>
        </w:rPr>
        <w:t>（十）审批时限</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申请人提交材料齐备之日起20个工作日内。</w:t>
      </w:r>
    </w:p>
    <w:p>
      <w:pPr>
        <w:adjustRightInd w:val="0"/>
        <w:snapToGrid w:val="0"/>
        <w:spacing w:line="360" w:lineRule="auto"/>
        <w:ind w:firstLine="585"/>
        <w:rPr>
          <w:rFonts w:ascii="Times New Roman" w:hAnsi="Times New Roman" w:eastAsia="黑体" w:cs="Times New Roman"/>
          <w:sz w:val="30"/>
          <w:szCs w:val="30"/>
        </w:rPr>
      </w:pPr>
      <w:r>
        <w:rPr>
          <w:rFonts w:ascii="Times New Roman" w:hAnsi="Times New Roman" w:eastAsia="黑体" w:cs="Times New Roman"/>
          <w:sz w:val="30"/>
          <w:szCs w:val="30"/>
        </w:rPr>
        <w:t>（十一）审批收费依据及标准</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不收费。</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（十二）审批结果</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业务登记凭证。</w:t>
      </w:r>
    </w:p>
    <w:p>
      <w:pPr>
        <w:adjustRightInd w:val="0"/>
        <w:snapToGrid w:val="0"/>
        <w:spacing w:line="360" w:lineRule="auto"/>
        <w:ind w:firstLine="600"/>
        <w:rPr>
          <w:rFonts w:ascii="Times New Roman" w:hAnsi="Times New Roman" w:eastAsia="黑体" w:cs="Times New Roman"/>
          <w:sz w:val="30"/>
          <w:szCs w:val="30"/>
        </w:rPr>
      </w:pPr>
      <w:r>
        <w:rPr>
          <w:rFonts w:ascii="Times New Roman" w:hAnsi="Times New Roman" w:eastAsia="黑体" w:cs="Times New Roman"/>
          <w:sz w:val="30"/>
          <w:szCs w:val="30"/>
        </w:rPr>
        <w:t>（十三）结果送达</w:t>
      </w:r>
    </w:p>
    <w:p>
      <w:pPr>
        <w:adjustRightInd w:val="0"/>
        <w:snapToGrid w:val="0"/>
        <w:spacing w:line="360" w:lineRule="auto"/>
        <w:ind w:firstLine="600"/>
        <w:outlineLvl w:val="0"/>
        <w:rPr>
          <w:rFonts w:ascii="Times New Roman" w:hAnsi="Times New Roman" w:eastAsia="仿宋_GB2312" w:cs="Times New Roman"/>
          <w:sz w:val="30"/>
          <w:szCs w:val="30"/>
        </w:rPr>
      </w:pPr>
      <w:r>
        <w:rPr>
          <w:rFonts w:ascii="Times New Roman" w:hAnsi="Times New Roman" w:eastAsia="仿宋_GB2312" w:cs="Times New Roman"/>
          <w:sz w:val="30"/>
          <w:szCs w:val="30"/>
        </w:rPr>
        <w:t>通过现场告知或电话通知申请人，并通过现场领取或通过邮寄方式将结果送达。</w:t>
      </w:r>
    </w:p>
    <w:p>
      <w:pPr>
        <w:adjustRightInd w:val="0"/>
        <w:snapToGrid w:val="0"/>
        <w:spacing w:line="360" w:lineRule="auto"/>
        <w:ind w:firstLine="600"/>
        <w:outlineLvl w:val="0"/>
        <w:rPr>
          <w:rFonts w:ascii="Times New Roman" w:hAnsi="Times New Roman" w:eastAsia="黑体" w:cs="Times New Roman"/>
          <w:sz w:val="30"/>
          <w:szCs w:val="30"/>
        </w:rPr>
      </w:pPr>
      <w:r>
        <w:rPr>
          <w:rFonts w:ascii="Times New Roman" w:hAnsi="Times New Roman" w:eastAsia="黑体" w:cs="Times New Roman"/>
          <w:sz w:val="30"/>
          <w:szCs w:val="30"/>
        </w:rPr>
        <w:t>（十四）申请人权利和义务</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申请人有权依法提出行政审批申请，依法进行投诉、举报、复议、诉讼等。申请人有义务保证申请材料完整、真实、准确，获批后合法合规办理相关业务，重要信息发生变更须及时向国家外汇管理局报备，全面、及时、准确进行国际收支申报、报送相关数据信息等</w:t>
      </w:r>
    </w:p>
    <w:p>
      <w:pPr>
        <w:adjustRightInd w:val="0"/>
        <w:snapToGrid w:val="0"/>
        <w:spacing w:line="360" w:lineRule="auto"/>
        <w:ind w:firstLine="600"/>
        <w:outlineLvl w:val="0"/>
        <w:rPr>
          <w:rFonts w:hint="eastAsia" w:ascii="Times New Roman" w:hAnsi="Times New Roman" w:eastAsia="黑体" w:cs="Times New Roman"/>
          <w:sz w:val="30"/>
          <w:szCs w:val="30"/>
        </w:rPr>
      </w:pPr>
      <w:r>
        <w:rPr>
          <w:rFonts w:hint="eastAsia" w:ascii="Times New Roman" w:hAnsi="Times New Roman" w:eastAsia="黑体" w:cs="Times New Roman"/>
          <w:sz w:val="30"/>
          <w:szCs w:val="30"/>
          <w:lang w:eastAsia="zh-CN"/>
        </w:rPr>
        <w:t>（十五）</w:t>
      </w:r>
      <w:r>
        <w:rPr>
          <w:rFonts w:hint="eastAsia" w:ascii="Times New Roman" w:hAnsi="Times New Roman" w:eastAsia="黑体" w:cs="Times New Roman"/>
          <w:sz w:val="30"/>
          <w:szCs w:val="30"/>
        </w:rPr>
        <w:t>办公地址、时间及联系方式</w:t>
      </w:r>
    </w:p>
    <w:p>
      <w:pPr>
        <w:adjustRightInd w:val="0"/>
        <w:snapToGrid w:val="0"/>
        <w:spacing w:line="360" w:lineRule="auto"/>
        <w:ind w:firstLine="6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办公地址：云南省昆明市五华区正义路69号国家外汇管理局云南省分局1402室</w:t>
      </w:r>
    </w:p>
    <w:p>
      <w:pPr>
        <w:adjustRightInd w:val="0"/>
        <w:snapToGrid w:val="0"/>
        <w:spacing w:line="360" w:lineRule="auto"/>
        <w:ind w:firstLine="6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办公时间：上午8：30—12：00   下午13:30—17:00</w:t>
      </w:r>
    </w:p>
    <w:p>
      <w:pPr>
        <w:adjustRightInd w:val="0"/>
        <w:snapToGrid w:val="0"/>
        <w:spacing w:line="360" w:lineRule="auto"/>
        <w:ind w:firstLine="6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lang w:val="en-US" w:eastAsia="zh-CN"/>
        </w:rPr>
        <w:t>联系电话：0871-63212721（资本项目管理处）</w:t>
      </w:r>
    </w:p>
    <w:p>
      <w:pPr>
        <w:adjustRightInd w:val="0"/>
        <w:snapToGrid w:val="0"/>
        <w:spacing w:line="360" w:lineRule="auto"/>
        <w:ind w:firstLine="600"/>
        <w:outlineLvl w:val="0"/>
        <w:rPr>
          <w:rFonts w:hint="eastAsia" w:ascii="Times New Roman" w:hAnsi="Times New Roman" w:eastAsia="黑体" w:cs="Times New Roman"/>
          <w:sz w:val="30"/>
          <w:szCs w:val="30"/>
          <w:lang w:eastAsia="zh-CN"/>
        </w:rPr>
      </w:pPr>
      <w:r>
        <w:rPr>
          <w:rFonts w:hint="eastAsia" w:ascii="Times New Roman" w:hAnsi="Times New Roman" w:eastAsia="黑体" w:cs="Times New Roman"/>
          <w:sz w:val="30"/>
          <w:szCs w:val="30"/>
          <w:lang w:eastAsia="zh-CN"/>
        </w:rPr>
        <w:t>（十六）咨询途径</w:t>
      </w:r>
    </w:p>
    <w:p>
      <w:pPr>
        <w:adjustRightInd w:val="0"/>
        <w:snapToGrid w:val="0"/>
        <w:spacing w:line="360" w:lineRule="auto"/>
        <w:ind w:firstLine="6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向各地外汇局进行咨询、进程查询、监督和投诉等可通过各地外汇局官方互联网站的相应栏目进行。网址可通过www.safe.gov.cn进行链接，也可通过各外汇局官方互联网站上公布的电话进行。</w:t>
      </w:r>
    </w:p>
    <w:p>
      <w:pPr>
        <w:widowControl/>
        <w:jc w:val="left"/>
        <w:rPr>
          <w:rFonts w:ascii="Times New Roman" w:hAnsi="Times New Roman" w:eastAsia="仿宋_GB2312" w:cs="Times New Roman"/>
          <w:sz w:val="30"/>
          <w:szCs w:val="30"/>
        </w:rPr>
      </w:pPr>
      <w:bookmarkStart w:id="0" w:name="_GoBack"/>
      <w:bookmarkEnd w:id="0"/>
      <w:r>
        <w:rPr>
          <w:rFonts w:ascii="Times New Roman" w:hAnsi="Times New Roman" w:eastAsia="仿宋_GB2312" w:cs="Times New Roman"/>
          <w:sz w:val="30"/>
          <w:szCs w:val="30"/>
        </w:rPr>
        <w:br w:type="page"/>
      </w:r>
    </w:p>
    <w:p>
      <w:pPr>
        <w:rPr>
          <w:rFonts w:ascii="Times New Roman" w:hAnsi="Times New Roman" w:eastAsia="仿宋_GB2312" w:cs="Times New Roman"/>
          <w:sz w:val="30"/>
          <w:szCs w:val="30"/>
        </w:rPr>
      </w:pPr>
      <w:r>
        <w:rPr>
          <w:rFonts w:ascii="Times New Roman" w:hAnsi="Times New Roman" w:eastAsia="仿宋_GB2312" w:cs="Times New Roman"/>
          <w:sz w:val="30"/>
          <w:szCs w:val="30"/>
        </w:rPr>
        <w:t>附录一</w:t>
      </w:r>
    </w:p>
    <w:p>
      <w:pPr>
        <w:ind w:right="300"/>
        <w:jc w:val="center"/>
        <w:rPr>
          <w:rFonts w:ascii="Times New Roman" w:hAnsi="Times New Roman" w:eastAsia="黑体" w:cs="Times New Roman"/>
          <w:sz w:val="30"/>
          <w:szCs w:val="30"/>
        </w:rPr>
      </w:pPr>
      <w:r>
        <w:rPr>
          <w:rFonts w:ascii="Times New Roman" w:hAnsi="Times New Roman" w:eastAsia="黑体" w:cs="Times New Roman"/>
          <w:sz w:val="30"/>
          <w:szCs w:val="30"/>
        </w:rPr>
        <w:t>基本流程图</w:t>
      </w:r>
    </w:p>
    <w:p>
      <w:pPr>
        <w:ind w:right="300"/>
        <w:jc w:val="center"/>
        <w:rPr>
          <w:rFonts w:ascii="Times New Roman" w:hAnsi="Times New Roman" w:eastAsia="黑体" w:cs="Times New Roman"/>
          <w:sz w:val="30"/>
          <w:szCs w:val="30"/>
        </w:rPr>
      </w:pPr>
      <w:r>
        <w:rPr>
          <w:rFonts w:ascii="Times New Roman" w:hAnsi="Times New Roman" w:eastAsia="黑体" w:cs="Times New Roman"/>
          <w:kern w:val="2"/>
          <w:sz w:val="30"/>
          <w:szCs w:val="30"/>
          <w:lang w:val="en-US" w:eastAsia="zh-CN" w:bidi="ar-SA"/>
        </w:rPr>
        <w:pict>
          <v:group id="组合 1026" o:spid="_x0000_s1027" style="position:absolute;left:0;margin-left:-21pt;margin-top:14.85pt;height:586.05pt;width:455.05pt;rotation:0f;z-index:251658240;" coordorigin="-180,0" coordsize="9101,11721">
            <o:lock v:ext="edit" position="f" selection="f" grouping="f" rotation="f" cropping="f" text="f" aspectratio="f"/>
            <v:rect id="Rectangle 681" o:spid="_x0000_s1028" style="position:absolute;left:2908;top:8319;height:534;width:2985;rotation:0f;"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pPr>
                    <w:r>
                      <w:t>审核</w:t>
                    </w:r>
                  </w:p>
                </w:txbxContent>
              </v:textbox>
            </v:rect>
            <v:shape id="AutoShape 682" o:spid="_x0000_s1029" type="#_x0000_t116" style="position:absolute;left:4420;top:10681;height:1037;width:3675;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依法作出不予许可决定，</w:t>
                    </w:r>
                  </w:p>
                  <w:p>
                    <w:pPr>
                      <w:jc w:val="center"/>
                    </w:pPr>
                    <w:r>
                      <w:rPr>
                        <w:rFonts w:hint="eastAsia"/>
                      </w:rPr>
                      <w:t>并送达</w:t>
                    </w:r>
                  </w:p>
                </w:txbxContent>
              </v:textbox>
            </v:shape>
            <v:shape id="AutoShape 683" o:spid="_x0000_s1030" type="#_x0000_t116" style="position:absolute;left:695;top:10663;height:1058;width:3461;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依法予以许可，出具相关</w:t>
                    </w:r>
                  </w:p>
                  <w:p>
                    <w:pPr>
                      <w:jc w:val="center"/>
                    </w:pPr>
                    <w:r>
                      <w:rPr>
                        <w:rFonts w:hint="eastAsia"/>
                      </w:rPr>
                      <w:t>业务办理凭证，并送达</w:t>
                    </w:r>
                  </w:p>
                </w:txbxContent>
              </v:textbox>
            </v:shape>
            <v:shape id="AutoShape 684" o:spid="_x0000_s1031" type="#_x0000_t32" style="position:absolute;left:4382;top:7693;height:626;width:1;rotation:0f;" o:ole="f"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AutoShape 685" o:spid="_x0000_s1032" type="#_x0000_t32" style="position:absolute;left:6331;top:9568;height:1095;width:17;rotation:0f;" o:ole="f"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AutoShape 686" o:spid="_x0000_s1033" type="#_x0000_t32" style="position:absolute;left:2358;top:9568;height:1035;width:1;rotation:0f;" o:ole="f"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AutoShape 687" o:spid="_x0000_s1034" type="#_x0000_t32" style="position:absolute;left:4383;top:8853;height:715;width:1;rotation:0f;" o:ole="f"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v:shape id="AutoShape 688" o:spid="_x0000_s1035" type="#_x0000_t32" style="position:absolute;left:2359;top:9568;height:0;width:3972;rotation:0f;" o:ole="f"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v:group id="组合 1035" o:spid="_x0000_s1036" style="position:absolute;left:-180;top:0;height:7693;width:9101;rotation:0f;" coordorigin="-180,0" coordsize="9101,7693">
              <o:lock v:ext="edit" position="f" selection="f" grouping="f" rotation="f" cropping="f" text="f" aspectratio="f"/>
              <v:shape id="AutoShape 690" o:spid="_x0000_s1037" type="#_x0000_t32" style="position:absolute;left:5893;top:6566;height:608;width:0;rotation:0f;" o:ole="f"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group id="组合 1037" o:spid="_x0000_s1038" style="position:absolute;left:-180;top:0;height:7693;width:9101;rotation:0f;" coordorigin="-180,0" coordsize="9101,7693">
                <o:lock v:ext="edit" position="f" selection="f" grouping="f" rotation="f" cropping="f" text="f" aspectratio="f"/>
                <v:shape id="AutoShape 692" o:spid="_x0000_s1039" type="#_x0000_t34" style="position:absolute;left:6366;top:3154;height:1285;width:3823;rotation:17694720f;" o:ole="f" fillcolor="#FFFFFF" filled="f" o:preferrelative="t" stroked="t" coordorigin="0,0" coordsize="21600,21600" adj="33">
                  <v:fill on="f" color2="#FFFFFF" focus="0%"/>
                  <v:stroke color="#000000" color2="#FFFFFF" miterlimit="2"/>
                  <v:imagedata gain="65536f" blacklevel="0f" gamma="0"/>
                  <o:lock v:ext="edit" position="f" selection="f" grouping="f" rotation="f" cropping="f" text="f" aspectratio="f"/>
                </v:shape>
                <v:shape id="Text Box 693" o:spid="_x0000_s1040" type="#_x0000_t202" style="position:absolute;left:7996;top:2297;height:2553;width:754;rotation:0f;" o:ole="f" fillcolor="#FFFFFF" filled="t" o:preferrelative="t" stroked="t" coordorigin="0,0" coordsize="21600,21600">
                  <v:stroke color="#FFFFFF" color2="#FFFFFF" miterlimit="2"/>
                  <v:imagedata gain="65536f" blacklevel="0f" gamma="0"/>
                  <o:lock v:ext="edit" position="f" selection="f" grouping="f" rotation="f" cropping="f" text="f" aspectratio="f"/>
                  <v:textbox>
                    <w:txbxContent>
                      <w:p>
                        <w:pPr>
                          <w:jc w:val="center"/>
                        </w:pPr>
                        <w:r>
                          <w:rPr>
                            <w:rFonts w:hint="eastAsia"/>
                          </w:rPr>
                          <w:t>不能提供符合受理要求的材料</w:t>
                        </w:r>
                      </w:p>
                    </w:txbxContent>
                  </v:textbox>
                </v:shape>
                <v:shape id="AutoShape 694" o:spid="_x0000_s1041" type="#_x0000_t32" style="position:absolute;left:5893;top:4472;height:378;width:0;rotation:0f;" o:ole="f"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Text Box 695" o:spid="_x0000_s1042" type="#_x0000_t202" style="position:absolute;left:2568;top:6566;height:477;width:2737;rotation:0f;" o:ole="f" fillcolor="#FFFFFF" filled="t" o:preferrelative="t" stroked="t" coordorigin="0,0" coordsize="21600,21600">
                  <v:stroke color="#FFFFFF" color2="#FFFFFF" miterlimit="2"/>
                  <v:imagedata gain="65536f" blacklevel="0f" gamma="0"/>
                  <o:lock v:ext="edit" position="f" selection="f" grouping="f" rotation="f" cropping="f" text="f" aspectratio="f"/>
                  <v:textbox>
                    <w:txbxContent>
                      <w:p>
                        <w:pPr>
                          <w:jc w:val="center"/>
                        </w:pPr>
                        <w:r>
                          <w:rPr>
                            <w:rFonts w:hint="eastAsia"/>
                          </w:rPr>
                          <w:t>材料齐全并符合受理要求</w:t>
                        </w:r>
                      </w:p>
                    </w:txbxContent>
                  </v:textbox>
                </v:shape>
                <v:shape id="AutoShape 696" o:spid="_x0000_s1043" type="#_x0000_t4" style="position:absolute;left:4156;top:4833;height:1733;width:3480;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r>
                          <w:rPr>
                            <w:rFonts w:hint="eastAsia"/>
                          </w:rPr>
                          <w:t>申请人补充材料</w:t>
                        </w:r>
                      </w:p>
                    </w:txbxContent>
                  </v:textbox>
                </v:shape>
                <v:rect id="Rectangle 697" o:spid="_x0000_s1044" style="position:absolute;left:2568;top:7174;height:519;width:4816;rotation:0f;"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依法应予受理，出具行政审批受理单</w:t>
                        </w:r>
                      </w:p>
                      <w:p>
                        <w:pPr>
                          <w:jc w:val="center"/>
                        </w:pPr>
                      </w:p>
                    </w:txbxContent>
                  </v:textbox>
                </v:rect>
                <v:rect id="Rectangle 698" o:spid="_x0000_s1045" style="position:absolute;left:4566;top:3341;height:1114;width:3190;rotation:0f;"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材料不全或不符合法定形式的，一次性告知补正材料，</w:t>
                        </w:r>
                      </w:p>
                      <w:p>
                        <w:pPr>
                          <w:jc w:val="center"/>
                        </w:pPr>
                        <w:r>
                          <w:rPr>
                            <w:rFonts w:hint="eastAsia"/>
                          </w:rPr>
                          <w:t>出具行政审批补正材料通知书</w:t>
                        </w:r>
                      </w:p>
                      <w:p/>
                    </w:txbxContent>
                  </v:textbox>
                </v:rect>
                <v:shape id="AutoShape 699" o:spid="_x0000_s1046" type="#_x0000_t116" style="position:absolute;left:4566;top:1337;height:1423;width:2818;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依法不予受理的，作出不予受理决定，出具不予受理行政审批申请通知书</w:t>
                        </w:r>
                      </w:p>
                      <w:p>
                        <w:pPr>
                          <w:jc w:val="center"/>
                        </w:pPr>
                      </w:p>
                    </w:txbxContent>
                  </v:textbox>
                </v:shape>
                <v:group id="组合 1046" o:spid="_x0000_s1047" style="position:absolute;left:-180;top:0;height:7424;width:4774;rotation:0f;" coordorigin="-180,0" coordsize="4774,7424">
                  <o:lock v:ext="edit" position="f" selection="f" grouping="f" rotation="f" cropping="f" text="f" aspectratio="f"/>
                  <v:shape id="AutoShape 701" o:spid="_x0000_s1048" type="#_x0000_t32" style="position:absolute;left:3663;top:3910;height:0;width:931;rotation:0f;" o:ole="f"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AutoShape 702" o:spid="_x0000_s1049" type="#_x0000_t32" style="position:absolute;left:1355;top:3986;height:3437;width:1;rotation:0f;" o:ole="f"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v:group id="组合 1049" o:spid="_x0000_s1050" style="position:absolute;left:-180;top:0;height:4020;width:3809;rotation:0f;" coordorigin="-180,0" coordsize="3809,4020">
                    <o:lock v:ext="edit" position="f" selection="f" grouping="f" rotation="f" cropping="f" text="f" aspectratio="f"/>
                    <v:shape id="AutoShape 704" o:spid="_x0000_s1051" type="#_x0000_t32" style="position:absolute;left:1396;top:1172;height:764;width:1;rotation:0f;" o:ole="f"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AutoShape 705" o:spid="_x0000_s1052" type="#_x0000_t32" style="position:absolute;left:2400;top:2967;height:0;width:1229;rotation:0f;" o:ole="f"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v:shape id="AutoShape 706" o:spid="_x0000_s1053" type="#_x0000_t4" style="position:absolute;left:-180;top:1936;height:2084;width:2953;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r>
                              <w:rPr>
                                <w:rFonts w:hint="eastAsia"/>
                              </w:rPr>
                              <w:t>接件（</w:t>
                            </w:r>
                            <w:r>
                              <w:t>5</w:t>
                            </w:r>
                            <w:r>
                              <w:rPr>
                                <w:rFonts w:hint="eastAsia"/>
                              </w:rPr>
                              <w:t>个工作日）作出是否受理决定</w:t>
                            </w:r>
                          </w:p>
                          <w:p/>
                        </w:txbxContent>
                      </v:textbox>
                    </v:shape>
                    <v:shape id="AutoShape 707" o:spid="_x0000_s1054" type="#_x0000_t116" style="position:absolute;left:184;top:0;height:1172;width:2724;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申请人提出书面申请，并提交材料</w:t>
                            </w:r>
                          </w:p>
                        </w:txbxContent>
                      </v:textbox>
                    </v:shape>
                  </v:group>
                  <v:shape id="AutoShape 708" o:spid="_x0000_s1055" type="#_x0000_t32" style="position:absolute;left:1355;top:7423;height:1;width:1213;rotation:0f;" o:ole="f"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AutoShape 709" o:spid="_x0000_s1056" type="#_x0000_t32" style="position:absolute;left:3663;top:1999;height:1921;width:0;rotation:0f;" o:ole="f"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v:shape id="AutoShape 710" o:spid="_x0000_s1057" type="#_x0000_t32" style="position:absolute;left:3663;top:1989;height:1;width:903;rotation:0f;" o:ole="f"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Text Box 711" o:spid="_x0000_s1058" type="#_x0000_t202" style="position:absolute;left:597;top:5280;height:1152;width:508;rotation:0f;" o:ole="f" fillcolor="#FFFFFF" filled="t" o:preferrelative="t" stroked="t" coordorigin="0,0" coordsize="21600,21600">
                    <v:stroke color="#FFFFFF" color2="#FFFFFF" miterlimit="2"/>
                    <v:imagedata gain="65536f" blacklevel="0f" gamma="0"/>
                    <o:lock v:ext="edit" position="f" selection="f" grouping="f" rotation="f" cropping="f" text="f" aspectratio="f"/>
                    <v:textbox>
                      <w:txbxContent>
                        <w:p>
                          <w:r>
                            <w:rPr>
                              <w:rFonts w:hint="eastAsia"/>
                            </w:rPr>
                            <w:t>是</w:t>
                          </w:r>
                        </w:p>
                      </w:txbxContent>
                    </v:textbox>
                  </v:shape>
                  <v:shape id="Text Box 712" o:spid="_x0000_s1059" type="#_x0000_t202" style="position:absolute;left:2799;top:2220;height:471;width:508;rotation:0f;" o:ole="f" fillcolor="#FFFFFF" filled="t" o:preferrelative="t" stroked="t" coordorigin="0,0" coordsize="21600,21600">
                    <v:stroke color="#FFFFFF" color2="#FFFFFF" miterlimit="2"/>
                    <v:imagedata gain="65536f" blacklevel="0f" gamma="0"/>
                    <o:lock v:ext="edit" position="f" selection="f" grouping="f" rotation="f" cropping="f" text="f" aspectratio="f"/>
                    <v:textbox style="mso-fit-shape-to-text:t;">
                      <w:txbxContent>
                        <w:p>
                          <w:r>
                            <w:rPr>
                              <w:rFonts w:hint="eastAsia"/>
                            </w:rPr>
                            <w:t>否</w:t>
                          </w:r>
                        </w:p>
                      </w:txbxContent>
                    </v:textbox>
                  </v:shape>
                </v:group>
                <v:shape id="AutoShape 713" o:spid="_x0000_s1060" type="#_x0000_t32" style="position:absolute;left:7384;top:1886;flip:x;height:0;width:1537;rotation:0f;" o:ole="f"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group>
            </v:group>
          </v:group>
        </w:pict>
      </w:r>
    </w:p>
    <w:p>
      <w:pPr>
        <w:tabs>
          <w:tab w:val="center" w:pos="4363"/>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ab/>
      </w:r>
    </w:p>
    <w:p>
      <w:pPr>
        <w:tabs>
          <w:tab w:val="center" w:pos="4363"/>
        </w:tabs>
        <w:ind w:firstLine="600" w:firstLineChars="200"/>
        <w:rPr>
          <w:rFonts w:ascii="Times New Roman" w:hAnsi="Times New Roman" w:eastAsia="仿宋_GB2312" w:cs="Times New Roman"/>
          <w:sz w:val="30"/>
          <w:szCs w:val="30"/>
        </w:rPr>
      </w:pPr>
    </w:p>
    <w:p>
      <w:pPr>
        <w:tabs>
          <w:tab w:val="center" w:pos="4363"/>
        </w:tabs>
        <w:ind w:firstLine="600" w:firstLineChars="200"/>
        <w:rPr>
          <w:rFonts w:ascii="Times New Roman" w:hAnsi="Times New Roman" w:eastAsia="仿宋_GB2312" w:cs="Times New Roman"/>
          <w:sz w:val="30"/>
          <w:szCs w:val="30"/>
        </w:rPr>
      </w:pPr>
    </w:p>
    <w:p>
      <w:pPr>
        <w:tabs>
          <w:tab w:val="center" w:pos="4363"/>
        </w:tabs>
        <w:ind w:firstLine="600" w:firstLineChars="200"/>
        <w:rPr>
          <w:rFonts w:ascii="Times New Roman" w:hAnsi="Times New Roman" w:eastAsia="仿宋_GB2312" w:cs="Times New Roman"/>
          <w:sz w:val="30"/>
          <w:szCs w:val="30"/>
        </w:rPr>
      </w:pPr>
    </w:p>
    <w:p>
      <w:pPr>
        <w:tabs>
          <w:tab w:val="center" w:pos="4363"/>
        </w:tabs>
        <w:ind w:firstLine="600" w:firstLineChars="200"/>
        <w:rPr>
          <w:rFonts w:ascii="Times New Roman" w:hAnsi="Times New Roman" w:eastAsia="仿宋_GB2312" w:cs="Times New Roman"/>
          <w:sz w:val="30"/>
          <w:szCs w:val="30"/>
        </w:rPr>
      </w:pPr>
    </w:p>
    <w:p>
      <w:pPr>
        <w:tabs>
          <w:tab w:val="center" w:pos="4363"/>
        </w:tabs>
        <w:ind w:firstLine="600" w:firstLineChars="200"/>
        <w:rPr>
          <w:rFonts w:ascii="Times New Roman" w:hAnsi="Times New Roman" w:eastAsia="仿宋_GB2312" w:cs="Times New Roman"/>
          <w:sz w:val="30"/>
          <w:szCs w:val="30"/>
        </w:rPr>
      </w:pPr>
    </w:p>
    <w:p>
      <w:pPr>
        <w:tabs>
          <w:tab w:val="center" w:pos="4363"/>
        </w:tabs>
        <w:ind w:firstLine="600" w:firstLineChars="200"/>
        <w:rPr>
          <w:rFonts w:ascii="Times New Roman" w:hAnsi="Times New Roman" w:eastAsia="仿宋_GB2312" w:cs="Times New Roman"/>
          <w:sz w:val="30"/>
          <w:szCs w:val="30"/>
        </w:rPr>
      </w:pPr>
    </w:p>
    <w:p>
      <w:pPr>
        <w:rPr>
          <w:rFonts w:ascii="Times New Roman" w:hAnsi="Times New Roman" w:cs="Times New Roman"/>
        </w:rPr>
      </w:pPr>
      <w:r>
        <w:rPr>
          <w:rFonts w:ascii="Times New Roman" w:hAnsi="Times New Roman" w:eastAsia="仿宋_GB2312" w:cs="Times New Roman"/>
          <w:sz w:val="30"/>
          <w:szCs w:val="30"/>
        </w:rPr>
        <w:br w:type="page"/>
      </w:r>
    </w:p>
    <w:p>
      <w:pPr>
        <w:ind w:right="300"/>
        <w:rPr>
          <w:rFonts w:ascii="Times New Roman" w:hAnsi="Times New Roman" w:eastAsia="仿宋_GB2312" w:cs="Times New Roman"/>
          <w:sz w:val="30"/>
          <w:szCs w:val="30"/>
        </w:rPr>
        <w:sectPr>
          <w:footerReference r:id="rId5" w:type="default"/>
          <w:pgSz w:w="11906" w:h="16838"/>
          <w:pgMar w:top="1440" w:right="1800" w:bottom="1440" w:left="1800" w:header="851" w:footer="992" w:gutter="0"/>
          <w:cols w:space="720" w:num="1"/>
          <w:docGrid w:type="lines" w:linePitch="312"/>
        </w:sectPr>
      </w:pPr>
    </w:p>
    <w:p>
      <w:pPr>
        <w:adjustRightInd w:val="0"/>
        <w:snapToGrid w:val="0"/>
        <w:spacing w:line="360" w:lineRule="auto"/>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附录二  </w:t>
      </w:r>
    </w:p>
    <w:p>
      <w:pPr>
        <w:spacing w:line="400" w:lineRule="exact"/>
        <w:ind w:firstLine="570"/>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以新增证券为基础的中国存托凭证发行登记表</w:t>
      </w:r>
    </w:p>
    <w:p>
      <w:pPr>
        <w:spacing w:line="400" w:lineRule="exact"/>
        <w:ind w:firstLine="570"/>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Registration form for Issuance of Chinese Depositary Receipt</w:t>
      </w:r>
    </w:p>
    <w:tbl>
      <w:tblPr>
        <w:tblW w:w="1417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08"/>
        <w:gridCol w:w="879"/>
        <w:gridCol w:w="71"/>
        <w:gridCol w:w="1488"/>
        <w:gridCol w:w="848"/>
        <w:gridCol w:w="2696"/>
        <w:gridCol w:w="564"/>
        <w:gridCol w:w="712"/>
        <w:gridCol w:w="1417"/>
        <w:gridCol w:w="1568"/>
        <w:gridCol w:w="558"/>
        <w:gridCol w:w="1165"/>
      </w:tblGrid>
      <w:tr>
        <w:trPr>
          <w:trHeight w:val="776" w:hRule="atLeast"/>
        </w:trPr>
        <w:tc>
          <w:tcPr>
            <w:tcW w:w="14174" w:type="dxa"/>
            <w:gridSpan w:val="12"/>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Times New Roman" w:hAnsi="Times New Roman" w:eastAsia="华文仿宋" w:cs="Times New Roman"/>
                <w:b/>
                <w:bCs/>
                <w:color w:val="000000"/>
                <w:kern w:val="0"/>
                <w:sz w:val="24"/>
                <w:szCs w:val="24"/>
              </w:rPr>
            </w:pPr>
            <w:r>
              <w:rPr>
                <w:rFonts w:ascii="Times New Roman" w:hAnsi="Times New Roman" w:eastAsia="华文仿宋" w:cs="Times New Roman"/>
                <w:b/>
                <w:bCs/>
                <w:color w:val="000000"/>
                <w:kern w:val="0"/>
                <w:sz w:val="24"/>
                <w:szCs w:val="24"/>
              </w:rPr>
              <w:t>一、境外基础证券发行人基本信息（中国存托凭证核准后发行结束前填写）I. Summary of the Issuer of the Underlying Offshore Securities (to be filled out after CSRC has granted the approval while before the completion of issuance &amp; listing)</w:t>
            </w:r>
          </w:p>
        </w:tc>
      </w:tr>
      <w:tr>
        <w:trPr>
          <w:cantSplit/>
          <w:trHeight w:val="345" w:hRule="atLeast"/>
        </w:trPr>
        <w:tc>
          <w:tcPr>
            <w:tcW w:w="2208" w:type="dxa"/>
            <w:vMerge w:val="restart"/>
            <w:tcBorders>
              <w:top w:val="nil"/>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 xml:space="preserve">机构名称 Name of Issuer </w:t>
            </w:r>
          </w:p>
        </w:tc>
        <w:tc>
          <w:tcPr>
            <w:tcW w:w="950" w:type="dxa"/>
            <w:gridSpan w:val="2"/>
            <w:tcBorders>
              <w:top w:val="nil"/>
              <w:left w:val="nil"/>
              <w:bottom w:val="single" w:color="auto" w:sz="4" w:space="0"/>
              <w:right w:val="single" w:color="auto" w:sz="4" w:space="0"/>
            </w:tcBorders>
            <w:vAlign w:val="center"/>
          </w:tcPr>
          <w:p>
            <w:pPr>
              <w:widowControl/>
              <w:spacing w:line="400" w:lineRule="exact"/>
              <w:jc w:val="left"/>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中文</w:t>
            </w:r>
          </w:p>
        </w:tc>
        <w:tc>
          <w:tcPr>
            <w:tcW w:w="11016" w:type="dxa"/>
            <w:gridSpan w:val="9"/>
            <w:tcBorders>
              <w:top w:val="single" w:color="auto" w:sz="4" w:space="0"/>
              <w:left w:val="nil"/>
              <w:bottom w:val="single" w:color="auto" w:sz="4" w:space="0"/>
              <w:right w:val="single" w:color="000000" w:sz="4" w:space="0"/>
            </w:tcBorders>
            <w:vAlign w:val="center"/>
          </w:tcPr>
          <w:p>
            <w:pPr>
              <w:widowControl/>
              <w:spacing w:line="400" w:lineRule="exact"/>
              <w:jc w:val="center"/>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　</w:t>
            </w:r>
          </w:p>
        </w:tc>
      </w:tr>
      <w:tr>
        <w:trPr>
          <w:cantSplit/>
          <w:trHeight w:val="405" w:hRule="atLeast"/>
        </w:trPr>
        <w:tc>
          <w:tcPr>
            <w:tcW w:w="2208"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Times New Roman" w:hAnsi="Times New Roman" w:eastAsia="华文仿宋" w:cs="Times New Roman"/>
                <w:color w:val="000000"/>
                <w:kern w:val="0"/>
                <w:sz w:val="24"/>
                <w:szCs w:val="24"/>
              </w:rPr>
            </w:pPr>
          </w:p>
        </w:tc>
        <w:tc>
          <w:tcPr>
            <w:tcW w:w="950" w:type="dxa"/>
            <w:gridSpan w:val="2"/>
            <w:tcBorders>
              <w:top w:val="nil"/>
              <w:left w:val="nil"/>
              <w:bottom w:val="single" w:color="auto" w:sz="4" w:space="0"/>
              <w:right w:val="single" w:color="auto" w:sz="4" w:space="0"/>
            </w:tcBorders>
            <w:vAlign w:val="center"/>
          </w:tcPr>
          <w:p>
            <w:pPr>
              <w:widowControl/>
              <w:spacing w:line="400" w:lineRule="exact"/>
              <w:jc w:val="left"/>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English</w:t>
            </w:r>
          </w:p>
        </w:tc>
        <w:tc>
          <w:tcPr>
            <w:tcW w:w="11016" w:type="dxa"/>
            <w:gridSpan w:val="9"/>
            <w:tcBorders>
              <w:top w:val="single" w:color="auto" w:sz="4" w:space="0"/>
              <w:left w:val="nil"/>
              <w:bottom w:val="single" w:color="auto" w:sz="4" w:space="0"/>
              <w:right w:val="single" w:color="000000" w:sz="4" w:space="0"/>
            </w:tcBorders>
            <w:vAlign w:val="center"/>
          </w:tcPr>
          <w:p>
            <w:pPr>
              <w:widowControl/>
              <w:spacing w:line="400" w:lineRule="exact"/>
              <w:jc w:val="center"/>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　</w:t>
            </w:r>
          </w:p>
        </w:tc>
      </w:tr>
      <w:tr>
        <w:trPr>
          <w:cantSplit/>
          <w:trHeight w:val="416" w:hRule="atLeast"/>
        </w:trPr>
        <w:tc>
          <w:tcPr>
            <w:tcW w:w="2208" w:type="dxa"/>
            <w:vMerge w:val="restart"/>
            <w:tcBorders>
              <w:top w:val="nil"/>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机构注册地 Domicile of Incorporation</w:t>
            </w:r>
          </w:p>
        </w:tc>
        <w:tc>
          <w:tcPr>
            <w:tcW w:w="950" w:type="dxa"/>
            <w:gridSpan w:val="2"/>
            <w:tcBorders>
              <w:top w:val="nil"/>
              <w:left w:val="nil"/>
              <w:bottom w:val="single" w:color="auto" w:sz="4" w:space="0"/>
              <w:right w:val="single" w:color="auto" w:sz="4" w:space="0"/>
            </w:tcBorders>
            <w:vAlign w:val="center"/>
          </w:tcPr>
          <w:p>
            <w:pPr>
              <w:widowControl/>
              <w:spacing w:line="400" w:lineRule="exact"/>
              <w:jc w:val="left"/>
              <w:rPr>
                <w:rFonts w:ascii="Times New Roman" w:hAnsi="Times New Roman" w:eastAsia="华文仿宋" w:cs="Times New Roman"/>
                <w:color w:val="000000"/>
                <w:kern w:val="0"/>
                <w:sz w:val="22"/>
                <w:szCs w:val="21"/>
              </w:rPr>
            </w:pPr>
            <w:r>
              <w:rPr>
                <w:rFonts w:ascii="Times New Roman" w:hAnsi="Times New Roman" w:eastAsia="华文仿宋" w:cs="Times New Roman"/>
                <w:color w:val="000000"/>
                <w:kern w:val="0"/>
                <w:sz w:val="22"/>
              </w:rPr>
              <w:t>中文</w:t>
            </w:r>
          </w:p>
        </w:tc>
        <w:tc>
          <w:tcPr>
            <w:tcW w:w="2336"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eastAsia="华文仿宋" w:cs="Times New Roman"/>
                <w:b/>
                <w:bCs/>
                <w:color w:val="000000"/>
                <w:kern w:val="0"/>
                <w:sz w:val="28"/>
                <w:szCs w:val="28"/>
              </w:rPr>
            </w:pPr>
            <w:r>
              <w:rPr>
                <w:rFonts w:ascii="Times New Roman" w:hAnsi="Times New Roman" w:eastAsia="华文仿宋" w:cs="Times New Roman"/>
                <w:b/>
                <w:bCs/>
                <w:color w:val="000000"/>
                <w:kern w:val="0"/>
                <w:sz w:val="28"/>
                <w:szCs w:val="28"/>
              </w:rPr>
              <w:t>　</w:t>
            </w:r>
          </w:p>
        </w:tc>
        <w:tc>
          <w:tcPr>
            <w:tcW w:w="3260" w:type="dxa"/>
            <w:gridSpan w:val="2"/>
            <w:vMerge w:val="restart"/>
            <w:tcBorders>
              <w:top w:val="nil"/>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特殊机构赋码 Special Institutional Code</w:t>
            </w:r>
          </w:p>
        </w:tc>
        <w:tc>
          <w:tcPr>
            <w:tcW w:w="2129" w:type="dxa"/>
            <w:gridSpan w:val="2"/>
            <w:vMerge w:val="restart"/>
            <w:tcBorders>
              <w:top w:val="single" w:color="auto" w:sz="4" w:space="0"/>
              <w:left w:val="single" w:color="auto" w:sz="4" w:space="0"/>
              <w:bottom w:val="single" w:color="000000" w:sz="4" w:space="0"/>
              <w:right w:val="single" w:color="000000" w:sz="4" w:space="0"/>
            </w:tcBorders>
            <w:vAlign w:val="center"/>
          </w:tcPr>
          <w:p>
            <w:pPr>
              <w:widowControl/>
              <w:spacing w:line="400" w:lineRule="exact"/>
              <w:jc w:val="center"/>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　</w:t>
            </w:r>
          </w:p>
        </w:tc>
        <w:tc>
          <w:tcPr>
            <w:tcW w:w="2126" w:type="dxa"/>
            <w:gridSpan w:val="2"/>
            <w:vMerge w:val="restart"/>
            <w:tcBorders>
              <w:top w:val="single" w:color="auto" w:sz="4" w:space="0"/>
              <w:left w:val="single" w:color="auto" w:sz="4" w:space="0"/>
              <w:bottom w:val="single" w:color="000000" w:sz="4" w:space="0"/>
              <w:right w:val="single" w:color="000000" w:sz="4" w:space="0"/>
            </w:tcBorders>
            <w:vAlign w:val="center"/>
          </w:tcPr>
          <w:p>
            <w:pPr>
              <w:widowControl/>
              <w:spacing w:line="300" w:lineRule="exact"/>
              <w:jc w:val="center"/>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全球法人机构识别编码（如有）（Legal Entity Identifier）(if have)</w:t>
            </w:r>
          </w:p>
        </w:tc>
        <w:tc>
          <w:tcPr>
            <w:tcW w:w="1165" w:type="dxa"/>
            <w:vMerge w:val="restart"/>
            <w:tcBorders>
              <w:top w:val="single" w:color="auto" w:sz="4" w:space="0"/>
              <w:left w:val="single" w:color="auto" w:sz="4" w:space="0"/>
              <w:bottom w:val="single" w:color="000000" w:sz="4" w:space="0"/>
              <w:right w:val="single" w:color="000000" w:sz="4" w:space="0"/>
            </w:tcBorders>
            <w:vAlign w:val="center"/>
          </w:tcPr>
          <w:p>
            <w:pPr>
              <w:widowControl/>
              <w:spacing w:line="400" w:lineRule="exact"/>
              <w:jc w:val="center"/>
              <w:rPr>
                <w:rFonts w:ascii="Times New Roman" w:hAnsi="Times New Roman" w:eastAsia="华文仿宋" w:cs="Times New Roman"/>
                <w:color w:val="000000"/>
                <w:kern w:val="0"/>
                <w:sz w:val="24"/>
                <w:szCs w:val="24"/>
              </w:rPr>
            </w:pPr>
          </w:p>
        </w:tc>
      </w:tr>
      <w:tr>
        <w:trPr>
          <w:cantSplit/>
          <w:trHeight w:val="422" w:hRule="atLeast"/>
        </w:trPr>
        <w:tc>
          <w:tcPr>
            <w:tcW w:w="220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华文仿宋" w:cs="Times New Roman"/>
                <w:color w:val="000000"/>
                <w:kern w:val="0"/>
                <w:sz w:val="24"/>
                <w:szCs w:val="24"/>
              </w:rPr>
            </w:pPr>
          </w:p>
        </w:tc>
        <w:tc>
          <w:tcPr>
            <w:tcW w:w="950" w:type="dxa"/>
            <w:gridSpan w:val="2"/>
            <w:tcBorders>
              <w:top w:val="nil"/>
              <w:left w:val="nil"/>
              <w:bottom w:val="single" w:color="auto" w:sz="4" w:space="0"/>
              <w:right w:val="single" w:color="auto" w:sz="4" w:space="0"/>
            </w:tcBorders>
            <w:vAlign w:val="center"/>
          </w:tcPr>
          <w:p>
            <w:pPr>
              <w:widowControl/>
              <w:spacing w:line="400" w:lineRule="exact"/>
              <w:jc w:val="left"/>
              <w:rPr>
                <w:rFonts w:ascii="Times New Roman" w:hAnsi="Times New Roman" w:eastAsia="华文仿宋" w:cs="Times New Roman"/>
                <w:color w:val="000000"/>
                <w:kern w:val="0"/>
                <w:sz w:val="22"/>
                <w:szCs w:val="21"/>
              </w:rPr>
            </w:pPr>
            <w:r>
              <w:rPr>
                <w:rFonts w:ascii="Times New Roman" w:hAnsi="Times New Roman" w:eastAsia="华文仿宋" w:cs="Times New Roman"/>
                <w:color w:val="000000"/>
                <w:kern w:val="0"/>
                <w:sz w:val="22"/>
              </w:rPr>
              <w:t>English</w:t>
            </w:r>
          </w:p>
        </w:tc>
        <w:tc>
          <w:tcPr>
            <w:tcW w:w="2336"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eastAsia="华文仿宋" w:cs="Times New Roman"/>
                <w:b/>
                <w:bCs/>
                <w:color w:val="000000"/>
                <w:kern w:val="0"/>
                <w:sz w:val="28"/>
                <w:szCs w:val="28"/>
              </w:rPr>
            </w:pPr>
            <w:r>
              <w:rPr>
                <w:rFonts w:ascii="Times New Roman" w:hAnsi="Times New Roman" w:eastAsia="华文仿宋" w:cs="Times New Roman"/>
                <w:b/>
                <w:bCs/>
                <w:color w:val="000000"/>
                <w:kern w:val="0"/>
                <w:sz w:val="28"/>
                <w:szCs w:val="28"/>
              </w:rPr>
              <w:t>　</w:t>
            </w:r>
          </w:p>
        </w:tc>
        <w:tc>
          <w:tcPr>
            <w:tcW w:w="3260" w:type="dxa"/>
            <w:gridSpan w:val="2"/>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Times New Roman" w:hAnsi="Times New Roman" w:eastAsia="华文仿宋" w:cs="Times New Roman"/>
                <w:color w:val="000000"/>
                <w:kern w:val="0"/>
                <w:sz w:val="24"/>
                <w:szCs w:val="24"/>
              </w:rPr>
            </w:pPr>
          </w:p>
        </w:tc>
        <w:tc>
          <w:tcPr>
            <w:tcW w:w="2129"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spacing w:line="400" w:lineRule="exact"/>
              <w:jc w:val="left"/>
              <w:rPr>
                <w:rFonts w:ascii="Times New Roman" w:hAnsi="Times New Roman" w:eastAsia="华文仿宋" w:cs="Times New Roman"/>
                <w:color w:val="000000"/>
                <w:kern w:val="0"/>
                <w:sz w:val="24"/>
                <w:szCs w:val="24"/>
              </w:rPr>
            </w:pPr>
          </w:p>
        </w:tc>
        <w:tc>
          <w:tcPr>
            <w:tcW w:w="2126"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spacing w:line="400" w:lineRule="exact"/>
              <w:jc w:val="left"/>
              <w:rPr>
                <w:rFonts w:ascii="Times New Roman" w:hAnsi="Times New Roman" w:eastAsia="华文仿宋" w:cs="Times New Roman"/>
                <w:color w:val="000000"/>
                <w:kern w:val="0"/>
                <w:sz w:val="24"/>
                <w:szCs w:val="24"/>
              </w:rPr>
            </w:pPr>
          </w:p>
        </w:tc>
        <w:tc>
          <w:tcPr>
            <w:tcW w:w="1165" w:type="dxa"/>
            <w:vMerge w:val="continue"/>
            <w:tcBorders>
              <w:top w:val="single" w:color="auto" w:sz="4" w:space="0"/>
              <w:left w:val="single" w:color="auto" w:sz="4" w:space="0"/>
              <w:bottom w:val="single" w:color="000000" w:sz="4" w:space="0"/>
              <w:right w:val="single" w:color="000000" w:sz="4" w:space="0"/>
            </w:tcBorders>
            <w:vAlign w:val="center"/>
          </w:tcPr>
          <w:p>
            <w:pPr>
              <w:widowControl/>
              <w:spacing w:line="400" w:lineRule="exact"/>
              <w:jc w:val="left"/>
              <w:rPr>
                <w:rFonts w:ascii="Times New Roman" w:hAnsi="Times New Roman" w:eastAsia="华文仿宋" w:cs="Times New Roman"/>
                <w:color w:val="000000"/>
                <w:kern w:val="0"/>
                <w:sz w:val="24"/>
                <w:szCs w:val="24"/>
              </w:rPr>
            </w:pPr>
          </w:p>
        </w:tc>
      </w:tr>
      <w:tr>
        <w:trPr>
          <w:trHeight w:val="475" w:hRule="atLeast"/>
        </w:trPr>
        <w:tc>
          <w:tcPr>
            <w:tcW w:w="5494" w:type="dxa"/>
            <w:gridSpan w:val="5"/>
            <w:tcBorders>
              <w:top w:val="nil"/>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境外基础证券上市交易所（如有）（Listed Exchange of Underlying Offshore Securities）(if have)</w:t>
            </w:r>
          </w:p>
        </w:tc>
        <w:tc>
          <w:tcPr>
            <w:tcW w:w="8680" w:type="dxa"/>
            <w:gridSpan w:val="7"/>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eastAsia="华文仿宋" w:cs="Times New Roman"/>
                <w:color w:val="000000"/>
                <w:kern w:val="0"/>
                <w:sz w:val="24"/>
                <w:szCs w:val="24"/>
              </w:rPr>
            </w:pPr>
          </w:p>
        </w:tc>
      </w:tr>
      <w:tr>
        <w:trPr>
          <w:trHeight w:val="799" w:hRule="atLeast"/>
        </w:trPr>
        <w:tc>
          <w:tcPr>
            <w:tcW w:w="2208"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境内主承销商 Onshore Lead Underwriter</w:t>
            </w:r>
          </w:p>
        </w:tc>
        <w:tc>
          <w:tcPr>
            <w:tcW w:w="3286" w:type="dxa"/>
            <w:gridSpan w:val="4"/>
            <w:tcBorders>
              <w:top w:val="single" w:color="auto" w:sz="4" w:space="0"/>
              <w:left w:val="nil"/>
              <w:bottom w:val="single" w:color="auto" w:sz="4" w:space="0"/>
              <w:right w:val="single" w:color="auto" w:sz="4" w:space="0"/>
            </w:tcBorders>
            <w:vAlign w:val="center"/>
          </w:tcPr>
          <w:p>
            <w:pPr>
              <w:widowControl/>
              <w:spacing w:line="260" w:lineRule="exact"/>
              <w:jc w:val="center"/>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　</w:t>
            </w:r>
          </w:p>
        </w:tc>
        <w:tc>
          <w:tcPr>
            <w:tcW w:w="3260" w:type="dxa"/>
            <w:gridSpan w:val="2"/>
            <w:tcBorders>
              <w:top w:val="nil"/>
              <w:left w:val="nil"/>
              <w:bottom w:val="single" w:color="auto" w:sz="4" w:space="0"/>
              <w:right w:val="single" w:color="auto" w:sz="4" w:space="0"/>
            </w:tcBorders>
            <w:vAlign w:val="center"/>
          </w:tcPr>
          <w:p>
            <w:pPr>
              <w:widowControl/>
              <w:spacing w:line="260" w:lineRule="exact"/>
              <w:jc w:val="center"/>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金融机构标识码 Financial Institutions Identification Code</w:t>
            </w:r>
          </w:p>
        </w:tc>
        <w:tc>
          <w:tcPr>
            <w:tcW w:w="5420" w:type="dxa"/>
            <w:gridSpan w:val="5"/>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　</w:t>
            </w:r>
          </w:p>
        </w:tc>
      </w:tr>
      <w:tr>
        <w:trPr>
          <w:trHeight w:val="1149" w:hRule="atLeast"/>
        </w:trPr>
        <w:tc>
          <w:tcPr>
            <w:tcW w:w="2208"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存托人 Depositary</w:t>
            </w:r>
          </w:p>
        </w:tc>
        <w:tc>
          <w:tcPr>
            <w:tcW w:w="3286" w:type="dxa"/>
            <w:gridSpan w:val="4"/>
            <w:tcBorders>
              <w:top w:val="single" w:color="auto" w:sz="4" w:space="0"/>
              <w:left w:val="nil"/>
              <w:bottom w:val="single" w:color="auto" w:sz="4" w:space="0"/>
              <w:right w:val="single" w:color="auto" w:sz="4" w:space="0"/>
            </w:tcBorders>
            <w:vAlign w:val="center"/>
          </w:tcPr>
          <w:p>
            <w:pPr>
              <w:widowControl/>
              <w:spacing w:line="260" w:lineRule="exact"/>
              <w:jc w:val="center"/>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　</w:t>
            </w:r>
          </w:p>
        </w:tc>
        <w:tc>
          <w:tcPr>
            <w:tcW w:w="3260" w:type="dxa"/>
            <w:gridSpan w:val="2"/>
            <w:tcBorders>
              <w:top w:val="nil"/>
              <w:left w:val="nil"/>
              <w:bottom w:val="single" w:color="auto" w:sz="4" w:space="0"/>
              <w:right w:val="single" w:color="auto" w:sz="4" w:space="0"/>
            </w:tcBorders>
            <w:vAlign w:val="center"/>
          </w:tcPr>
          <w:p>
            <w:pPr>
              <w:widowControl/>
              <w:spacing w:line="260" w:lineRule="exact"/>
              <w:jc w:val="center"/>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金融机构标识码/统一社会信用代码 Financial Institutions Identification Code/Uniform Social Credit Code</w:t>
            </w:r>
          </w:p>
        </w:tc>
        <w:tc>
          <w:tcPr>
            <w:tcW w:w="5420" w:type="dxa"/>
            <w:gridSpan w:val="5"/>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　</w:t>
            </w:r>
          </w:p>
        </w:tc>
      </w:tr>
      <w:tr>
        <w:trPr>
          <w:cantSplit/>
          <w:trHeight w:val="510" w:hRule="atLeast"/>
        </w:trPr>
        <w:tc>
          <w:tcPr>
            <w:tcW w:w="2208" w:type="dxa"/>
            <w:vMerge w:val="restart"/>
            <w:tcBorders>
              <w:top w:val="nil"/>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境外托管人Custodian</w:t>
            </w:r>
          </w:p>
        </w:tc>
        <w:tc>
          <w:tcPr>
            <w:tcW w:w="950" w:type="dxa"/>
            <w:gridSpan w:val="2"/>
            <w:tcBorders>
              <w:top w:val="nil"/>
              <w:left w:val="nil"/>
              <w:bottom w:val="single" w:color="auto" w:sz="4" w:space="0"/>
              <w:right w:val="single" w:color="auto" w:sz="4" w:space="0"/>
            </w:tcBorders>
            <w:vAlign w:val="center"/>
          </w:tcPr>
          <w:p>
            <w:pPr>
              <w:widowControl/>
              <w:spacing w:line="400" w:lineRule="exact"/>
              <w:jc w:val="left"/>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中文</w:t>
            </w:r>
          </w:p>
        </w:tc>
        <w:tc>
          <w:tcPr>
            <w:tcW w:w="11016" w:type="dxa"/>
            <w:gridSpan w:val="9"/>
            <w:tcBorders>
              <w:top w:val="single" w:color="auto" w:sz="4" w:space="0"/>
              <w:left w:val="nil"/>
              <w:bottom w:val="single" w:color="auto" w:sz="4" w:space="0"/>
              <w:right w:val="single" w:color="000000" w:sz="4" w:space="0"/>
            </w:tcBorders>
            <w:vAlign w:val="center"/>
          </w:tcPr>
          <w:p>
            <w:pPr>
              <w:widowControl/>
              <w:spacing w:line="400" w:lineRule="exact"/>
              <w:jc w:val="center"/>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　</w:t>
            </w:r>
          </w:p>
        </w:tc>
      </w:tr>
      <w:tr>
        <w:trPr>
          <w:cantSplit/>
          <w:trHeight w:val="510" w:hRule="atLeast"/>
        </w:trPr>
        <w:tc>
          <w:tcPr>
            <w:tcW w:w="2208"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Times New Roman" w:hAnsi="Times New Roman" w:eastAsia="华文仿宋" w:cs="Times New Roman"/>
                <w:color w:val="000000"/>
                <w:kern w:val="0"/>
                <w:sz w:val="24"/>
                <w:szCs w:val="24"/>
              </w:rPr>
            </w:pPr>
          </w:p>
        </w:tc>
        <w:tc>
          <w:tcPr>
            <w:tcW w:w="950" w:type="dxa"/>
            <w:gridSpan w:val="2"/>
            <w:tcBorders>
              <w:top w:val="nil"/>
              <w:left w:val="nil"/>
              <w:bottom w:val="single" w:color="auto" w:sz="4" w:space="0"/>
              <w:right w:val="single" w:color="auto" w:sz="4" w:space="0"/>
            </w:tcBorders>
            <w:vAlign w:val="center"/>
          </w:tcPr>
          <w:p>
            <w:pPr>
              <w:widowControl/>
              <w:spacing w:line="400" w:lineRule="exact"/>
              <w:jc w:val="left"/>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English</w:t>
            </w:r>
          </w:p>
        </w:tc>
        <w:tc>
          <w:tcPr>
            <w:tcW w:w="11016" w:type="dxa"/>
            <w:gridSpan w:val="9"/>
            <w:tcBorders>
              <w:top w:val="single" w:color="auto" w:sz="4" w:space="0"/>
              <w:left w:val="nil"/>
              <w:bottom w:val="single" w:color="auto" w:sz="4" w:space="0"/>
              <w:right w:val="single" w:color="000000" w:sz="4" w:space="0"/>
            </w:tcBorders>
            <w:vAlign w:val="center"/>
          </w:tcPr>
          <w:p>
            <w:pPr>
              <w:widowControl/>
              <w:spacing w:line="400" w:lineRule="exact"/>
              <w:jc w:val="center"/>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　</w:t>
            </w:r>
          </w:p>
        </w:tc>
      </w:tr>
      <w:tr>
        <w:trPr>
          <w:trHeight w:val="735" w:hRule="atLeast"/>
        </w:trPr>
        <w:tc>
          <w:tcPr>
            <w:tcW w:w="14174" w:type="dxa"/>
            <w:gridSpan w:val="12"/>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ascii="Times New Roman" w:hAnsi="Times New Roman" w:eastAsia="华文仿宋" w:cs="Times New Roman"/>
                <w:b/>
                <w:bCs/>
                <w:color w:val="000000"/>
                <w:kern w:val="0"/>
                <w:sz w:val="24"/>
                <w:szCs w:val="24"/>
              </w:rPr>
            </w:pPr>
            <w:r>
              <w:rPr>
                <w:rFonts w:ascii="Times New Roman" w:hAnsi="Times New Roman" w:eastAsia="华文仿宋" w:cs="Times New Roman"/>
                <w:b/>
                <w:bCs/>
                <w:color w:val="000000"/>
                <w:kern w:val="0"/>
                <w:sz w:val="24"/>
                <w:szCs w:val="24"/>
              </w:rPr>
              <w:t>二、中国存托凭证发行信息（发行结束后填写）II. Issuance Information of the Chinese Depositary Receipt(to be filled out when the issuance is completed)</w:t>
            </w:r>
          </w:p>
        </w:tc>
      </w:tr>
      <w:tr>
        <w:trPr>
          <w:trHeight w:val="657" w:hRule="atLeast"/>
        </w:trPr>
        <w:tc>
          <w:tcPr>
            <w:tcW w:w="3087"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华文仿宋" w:cs="Times New Roman"/>
                <w:color w:val="000000"/>
                <w:sz w:val="24"/>
                <w:szCs w:val="24"/>
              </w:rPr>
            </w:pPr>
            <w:r>
              <w:rPr>
                <w:rFonts w:ascii="Times New Roman" w:hAnsi="华文仿宋" w:eastAsia="华文仿宋" w:cs="Times New Roman"/>
                <w:color w:val="000000"/>
                <w:sz w:val="24"/>
                <w:szCs w:val="24"/>
              </w:rPr>
              <w:t>存托凭证名称</w:t>
            </w:r>
            <w:r>
              <w:rPr>
                <w:rFonts w:ascii="Times New Roman" w:hAnsi="Times New Roman" w:eastAsia="华文仿宋" w:cs="Times New Roman"/>
                <w:color w:val="000000"/>
                <w:sz w:val="24"/>
                <w:szCs w:val="24"/>
              </w:rPr>
              <w:t xml:space="preserve"> Name of securities investment license</w:t>
            </w:r>
          </w:p>
        </w:tc>
        <w:tc>
          <w:tcPr>
            <w:tcW w:w="5103" w:type="dxa"/>
            <w:gridSpan w:val="4"/>
            <w:tcBorders>
              <w:top w:val="single" w:color="auto" w:sz="4" w:space="0"/>
              <w:left w:val="nil"/>
              <w:bottom w:val="single" w:color="auto" w:sz="4" w:space="0"/>
              <w:right w:val="single" w:color="auto" w:sz="4" w:space="0"/>
            </w:tcBorders>
            <w:vAlign w:val="center"/>
          </w:tcPr>
          <w:p>
            <w:pPr>
              <w:spacing w:line="300" w:lineRule="exact"/>
              <w:rPr>
                <w:rFonts w:ascii="Times New Roman" w:hAnsi="Times New Roman" w:eastAsia="华文仿宋" w:cs="Times New Roman"/>
                <w:color w:val="000000"/>
                <w:sz w:val="24"/>
                <w:szCs w:val="24"/>
              </w:rPr>
            </w:pPr>
          </w:p>
        </w:tc>
        <w:tc>
          <w:tcPr>
            <w:tcW w:w="4261" w:type="dxa"/>
            <w:gridSpan w:val="4"/>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华文仿宋" w:cs="Times New Roman"/>
                <w:color w:val="000000"/>
                <w:sz w:val="24"/>
                <w:szCs w:val="24"/>
              </w:rPr>
            </w:pPr>
            <w:r>
              <w:rPr>
                <w:rFonts w:ascii="Times New Roman" w:hAnsi="华文仿宋" w:eastAsia="华文仿宋" w:cs="Times New Roman"/>
                <w:color w:val="000000"/>
                <w:sz w:val="24"/>
                <w:szCs w:val="24"/>
              </w:rPr>
              <w:t>批文号</w:t>
            </w:r>
          </w:p>
          <w:p>
            <w:pPr>
              <w:spacing w:line="300" w:lineRule="exact"/>
              <w:jc w:val="center"/>
              <w:rPr>
                <w:rFonts w:ascii="Times New Roman" w:hAnsi="Times New Roman" w:eastAsia="华文仿宋" w:cs="Times New Roman"/>
                <w:color w:val="000000"/>
                <w:sz w:val="24"/>
                <w:szCs w:val="24"/>
              </w:rPr>
            </w:pPr>
            <w:r>
              <w:rPr>
                <w:rFonts w:ascii="Times New Roman" w:hAnsi="Times New Roman" w:eastAsia="华文仿宋" w:cs="Times New Roman"/>
                <w:color w:val="000000"/>
                <w:sz w:val="24"/>
                <w:szCs w:val="24"/>
              </w:rPr>
              <w:t>Approval No.</w:t>
            </w:r>
          </w:p>
        </w:tc>
        <w:tc>
          <w:tcPr>
            <w:tcW w:w="1723" w:type="dxa"/>
            <w:gridSpan w:val="2"/>
            <w:tcBorders>
              <w:top w:val="single" w:color="auto" w:sz="4" w:space="0"/>
              <w:left w:val="nil"/>
              <w:bottom w:val="single" w:color="auto" w:sz="4" w:space="0"/>
              <w:right w:val="single" w:color="auto" w:sz="4" w:space="0"/>
            </w:tcBorders>
            <w:vAlign w:val="center"/>
          </w:tcPr>
          <w:p>
            <w:pPr>
              <w:spacing w:line="300" w:lineRule="exact"/>
              <w:rPr>
                <w:rFonts w:ascii="Times New Roman" w:hAnsi="Times New Roman" w:eastAsia="华文仿宋" w:cs="Times New Roman"/>
                <w:color w:val="000000"/>
                <w:sz w:val="24"/>
                <w:szCs w:val="24"/>
              </w:rPr>
            </w:pPr>
            <w:r>
              <w:rPr>
                <w:rFonts w:ascii="Times New Roman" w:hAnsi="华文仿宋" w:eastAsia="华文仿宋" w:cs="Times New Roman"/>
                <w:color w:val="000000"/>
                <w:sz w:val="24"/>
                <w:szCs w:val="24"/>
              </w:rPr>
              <w:t>　</w:t>
            </w:r>
          </w:p>
        </w:tc>
      </w:tr>
      <w:tr>
        <w:trPr>
          <w:trHeight w:val="955" w:hRule="atLeast"/>
        </w:trPr>
        <w:tc>
          <w:tcPr>
            <w:tcW w:w="3087"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华文仿宋" w:cs="Times New Roman"/>
                <w:color w:val="000000"/>
                <w:sz w:val="24"/>
                <w:szCs w:val="24"/>
              </w:rPr>
            </w:pPr>
            <w:r>
              <w:rPr>
                <w:rFonts w:ascii="Times New Roman" w:hAnsi="华文仿宋" w:eastAsia="华文仿宋" w:cs="Times New Roman"/>
                <w:color w:val="000000"/>
                <w:sz w:val="24"/>
                <w:szCs w:val="24"/>
              </w:rPr>
              <w:t>发行上市类型</w:t>
            </w:r>
            <w:r>
              <w:rPr>
                <w:rFonts w:ascii="Times New Roman" w:hAnsi="Times New Roman" w:eastAsia="华文仿宋" w:cs="Times New Roman"/>
                <w:color w:val="000000"/>
                <w:sz w:val="24"/>
                <w:szCs w:val="24"/>
              </w:rPr>
              <w:t xml:space="preserve"> Type of Issuance &amp; Listing</w:t>
            </w:r>
          </w:p>
        </w:tc>
        <w:tc>
          <w:tcPr>
            <w:tcW w:w="5103" w:type="dxa"/>
            <w:gridSpan w:val="4"/>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华文仿宋" w:cs="Times New Roman"/>
                <w:color w:val="000000"/>
                <w:sz w:val="24"/>
                <w:szCs w:val="24"/>
              </w:rPr>
            </w:pPr>
            <w:r>
              <w:rPr>
                <w:rFonts w:ascii="Times New Roman" w:hAnsi="华文仿宋" w:eastAsia="华文仿宋" w:cs="Times New Roman"/>
                <w:color w:val="000000"/>
                <w:sz w:val="24"/>
                <w:szCs w:val="24"/>
              </w:rPr>
              <w:t>交易所公开</w:t>
            </w:r>
            <w:r>
              <w:rPr>
                <w:rFonts w:ascii="Times New Roman" w:hAnsi="Times New Roman" w:eastAsia="华文仿宋" w:cs="Times New Roman"/>
                <w:color w:val="000000"/>
                <w:sz w:val="24"/>
                <w:szCs w:val="24"/>
              </w:rPr>
              <w:t xml:space="preserve">□ </w:t>
            </w:r>
            <w:r>
              <w:rPr>
                <w:rFonts w:ascii="Times New Roman" w:hAnsi="华文仿宋" w:eastAsia="华文仿宋" w:cs="Times New Roman"/>
                <w:color w:val="000000"/>
                <w:sz w:val="24"/>
                <w:szCs w:val="24"/>
              </w:rPr>
              <w:t>交易所非公开</w:t>
            </w:r>
            <w:r>
              <w:rPr>
                <w:rFonts w:ascii="Times New Roman" w:hAnsi="Times New Roman" w:eastAsia="华文仿宋" w:cs="Times New Roman"/>
                <w:color w:val="000000"/>
                <w:sz w:val="24"/>
                <w:szCs w:val="24"/>
              </w:rPr>
              <w:t>□</w:t>
            </w:r>
            <w:r>
              <w:rPr>
                <w:rFonts w:ascii="Times New Roman" w:hAnsi="华文仿宋" w:eastAsia="华文仿宋" w:cs="Times New Roman"/>
                <w:color w:val="000000"/>
                <w:sz w:val="24"/>
                <w:szCs w:val="24"/>
              </w:rPr>
              <w:t>场外</w:t>
            </w:r>
            <w:r>
              <w:rPr>
                <w:rFonts w:ascii="Times New Roman" w:hAnsi="Times New Roman" w:eastAsia="华文仿宋" w:cs="Times New Roman"/>
                <w:color w:val="000000"/>
                <w:sz w:val="24"/>
                <w:szCs w:val="24"/>
              </w:rPr>
              <w:t>□   Publicly Issued On the Exchange□</w:t>
            </w:r>
          </w:p>
          <w:p>
            <w:pPr>
              <w:spacing w:line="300" w:lineRule="exact"/>
              <w:jc w:val="center"/>
              <w:rPr>
                <w:rFonts w:ascii="Times New Roman" w:hAnsi="Times New Roman" w:eastAsia="华文仿宋" w:cs="Times New Roman"/>
                <w:color w:val="000000"/>
                <w:sz w:val="24"/>
                <w:szCs w:val="24"/>
              </w:rPr>
            </w:pPr>
            <w:r>
              <w:rPr>
                <w:rFonts w:ascii="Times New Roman" w:hAnsi="Times New Roman" w:eastAsia="华文仿宋" w:cs="Times New Roman"/>
                <w:color w:val="000000"/>
                <w:sz w:val="24"/>
                <w:szCs w:val="24"/>
              </w:rPr>
              <w:t>Non-publicly Issued On the Exchange□ OTC□</w:t>
            </w:r>
          </w:p>
        </w:tc>
        <w:tc>
          <w:tcPr>
            <w:tcW w:w="4261" w:type="dxa"/>
            <w:gridSpan w:val="4"/>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华文仿宋" w:cs="Times New Roman"/>
                <w:color w:val="000000"/>
                <w:sz w:val="24"/>
                <w:szCs w:val="24"/>
              </w:rPr>
            </w:pPr>
            <w:r>
              <w:rPr>
                <w:rFonts w:ascii="Times New Roman" w:hAnsi="华文仿宋" w:eastAsia="华文仿宋" w:cs="Times New Roman"/>
                <w:color w:val="000000"/>
                <w:sz w:val="24"/>
                <w:szCs w:val="24"/>
              </w:rPr>
              <w:t>用于创设的境外基础证券数量</w:t>
            </w:r>
          </w:p>
          <w:p>
            <w:pPr>
              <w:spacing w:line="300" w:lineRule="exact"/>
              <w:jc w:val="center"/>
              <w:rPr>
                <w:rFonts w:ascii="Times New Roman" w:hAnsi="Times New Roman" w:eastAsia="华文仿宋" w:cs="Times New Roman"/>
                <w:color w:val="000000"/>
                <w:sz w:val="24"/>
                <w:szCs w:val="24"/>
              </w:rPr>
            </w:pPr>
            <w:r>
              <w:rPr>
                <w:rFonts w:ascii="Times New Roman" w:hAnsi="Times New Roman" w:eastAsia="华文仿宋" w:cs="Times New Roman"/>
                <w:color w:val="000000"/>
                <w:sz w:val="24"/>
                <w:szCs w:val="24"/>
              </w:rPr>
              <w:t>Number of Underlying Securities</w:t>
            </w:r>
          </w:p>
        </w:tc>
        <w:tc>
          <w:tcPr>
            <w:tcW w:w="1723" w:type="dxa"/>
            <w:gridSpan w:val="2"/>
            <w:tcBorders>
              <w:top w:val="single" w:color="auto" w:sz="4" w:space="0"/>
              <w:left w:val="nil"/>
              <w:bottom w:val="single" w:color="auto" w:sz="4" w:space="0"/>
              <w:right w:val="single" w:color="auto" w:sz="4" w:space="0"/>
            </w:tcBorders>
            <w:vAlign w:val="center"/>
          </w:tcPr>
          <w:p>
            <w:pPr>
              <w:spacing w:line="300" w:lineRule="exact"/>
              <w:rPr>
                <w:rFonts w:ascii="Times New Roman" w:hAnsi="Times New Roman" w:eastAsia="华文仿宋" w:cs="Times New Roman"/>
                <w:color w:val="000000"/>
                <w:sz w:val="24"/>
                <w:szCs w:val="24"/>
              </w:rPr>
            </w:pPr>
            <w:r>
              <w:rPr>
                <w:rFonts w:ascii="Times New Roman" w:hAnsi="华文仿宋" w:eastAsia="华文仿宋" w:cs="Times New Roman"/>
                <w:color w:val="000000"/>
                <w:sz w:val="24"/>
                <w:szCs w:val="24"/>
              </w:rPr>
              <w:t>　</w:t>
            </w:r>
          </w:p>
        </w:tc>
      </w:tr>
      <w:tr>
        <w:trPr>
          <w:trHeight w:val="1087" w:hRule="atLeast"/>
        </w:trPr>
        <w:tc>
          <w:tcPr>
            <w:tcW w:w="3087"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华文仿宋" w:cs="Times New Roman"/>
                <w:color w:val="000000"/>
                <w:sz w:val="24"/>
                <w:szCs w:val="24"/>
              </w:rPr>
            </w:pPr>
            <w:r>
              <w:rPr>
                <w:rFonts w:ascii="Times New Roman" w:hAnsi="华文仿宋" w:eastAsia="华文仿宋" w:cs="Times New Roman"/>
                <w:color w:val="000000"/>
                <w:sz w:val="24"/>
                <w:szCs w:val="24"/>
              </w:rPr>
              <w:t>境外发行人基础证券发行（所在）地</w:t>
            </w:r>
            <w:r>
              <w:rPr>
                <w:rFonts w:ascii="Times New Roman" w:hAnsi="Times New Roman" w:eastAsia="华文仿宋" w:cs="Times New Roman"/>
                <w:color w:val="000000"/>
                <w:sz w:val="24"/>
                <w:szCs w:val="24"/>
              </w:rPr>
              <w:t xml:space="preserve"> Issuance Place of the Underlying Offshore Securities</w:t>
            </w:r>
          </w:p>
        </w:tc>
        <w:tc>
          <w:tcPr>
            <w:tcW w:w="1559"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华文仿宋" w:cs="Times New Roman"/>
                <w:color w:val="000000"/>
                <w:sz w:val="24"/>
                <w:szCs w:val="24"/>
              </w:rPr>
            </w:pPr>
            <w:r>
              <w:rPr>
                <w:rFonts w:ascii="Times New Roman" w:hAnsi="华文仿宋" w:eastAsia="华文仿宋" w:cs="Times New Roman"/>
                <w:color w:val="000000"/>
                <w:sz w:val="24"/>
                <w:szCs w:val="24"/>
              </w:rPr>
              <w:t>　</w:t>
            </w:r>
          </w:p>
        </w:tc>
        <w:tc>
          <w:tcPr>
            <w:tcW w:w="3544"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华文仿宋" w:cs="Times New Roman"/>
                <w:color w:val="000000"/>
                <w:sz w:val="24"/>
                <w:szCs w:val="24"/>
              </w:rPr>
            </w:pPr>
            <w:r>
              <w:rPr>
                <w:rFonts w:ascii="Times New Roman" w:hAnsi="华文仿宋" w:eastAsia="华文仿宋" w:cs="Times New Roman"/>
                <w:color w:val="000000"/>
                <w:sz w:val="24"/>
                <w:szCs w:val="24"/>
              </w:rPr>
              <w:t>占发行人境外基础证券比例（</w:t>
            </w:r>
            <w:r>
              <w:rPr>
                <w:rFonts w:ascii="Times New Roman" w:hAnsi="Times New Roman" w:eastAsia="华文仿宋" w:cs="Times New Roman"/>
                <w:color w:val="000000"/>
                <w:sz w:val="24"/>
                <w:szCs w:val="24"/>
              </w:rPr>
              <w:t>%</w:t>
            </w:r>
            <w:r>
              <w:rPr>
                <w:rFonts w:ascii="Times New Roman" w:hAnsi="华文仿宋" w:eastAsia="华文仿宋" w:cs="Times New Roman"/>
                <w:color w:val="000000"/>
                <w:sz w:val="24"/>
                <w:szCs w:val="24"/>
              </w:rPr>
              <w:t>）</w:t>
            </w:r>
            <w:r>
              <w:rPr>
                <w:rFonts w:ascii="Times New Roman" w:hAnsi="Times New Roman" w:eastAsia="华文仿宋" w:cs="Times New Roman"/>
                <w:color w:val="000000"/>
                <w:sz w:val="24"/>
                <w:szCs w:val="24"/>
              </w:rPr>
              <w:t>Percentage of the Total Offshore Underlying Securities</w:t>
            </w:r>
            <w:r>
              <w:rPr>
                <w:rFonts w:ascii="Times New Roman" w:hAnsi="华文仿宋" w:eastAsia="华文仿宋" w:cs="Times New Roman"/>
                <w:color w:val="000000"/>
                <w:sz w:val="24"/>
                <w:szCs w:val="24"/>
              </w:rPr>
              <w:t>（</w:t>
            </w:r>
            <w:r>
              <w:rPr>
                <w:rFonts w:ascii="Times New Roman" w:hAnsi="Times New Roman" w:eastAsia="华文仿宋" w:cs="Times New Roman"/>
                <w:color w:val="000000"/>
                <w:sz w:val="24"/>
                <w:szCs w:val="24"/>
              </w:rPr>
              <w:t>%）</w:t>
            </w:r>
          </w:p>
        </w:tc>
        <w:tc>
          <w:tcPr>
            <w:tcW w:w="1276"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华文仿宋" w:cs="Times New Roman"/>
                <w:color w:val="000000"/>
                <w:sz w:val="24"/>
                <w:szCs w:val="24"/>
              </w:rPr>
            </w:pPr>
            <w:r>
              <w:rPr>
                <w:rFonts w:ascii="Times New Roman" w:hAnsi="华文仿宋" w:eastAsia="华文仿宋" w:cs="Times New Roman"/>
                <w:color w:val="000000"/>
                <w:sz w:val="24"/>
                <w:szCs w:val="24"/>
              </w:rPr>
              <w:t>　</w:t>
            </w:r>
          </w:p>
        </w:tc>
        <w:tc>
          <w:tcPr>
            <w:tcW w:w="298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华文仿宋" w:cs="Times New Roman"/>
                <w:color w:val="000000"/>
                <w:sz w:val="24"/>
                <w:szCs w:val="24"/>
              </w:rPr>
            </w:pPr>
            <w:r>
              <w:rPr>
                <w:rFonts w:ascii="Times New Roman" w:hAnsi="华文仿宋" w:eastAsia="华文仿宋" w:cs="Times New Roman"/>
                <w:color w:val="000000"/>
                <w:sz w:val="24"/>
                <w:szCs w:val="24"/>
              </w:rPr>
              <w:t>存托凭证发行上市规模（人民币</w:t>
            </w:r>
            <w:r>
              <w:rPr>
                <w:rFonts w:ascii="Times New Roman" w:hAnsi="Times New Roman" w:eastAsia="华文仿宋" w:cs="Times New Roman"/>
                <w:color w:val="000000"/>
                <w:sz w:val="24"/>
                <w:szCs w:val="24"/>
              </w:rPr>
              <w:t>/</w:t>
            </w:r>
            <w:r>
              <w:rPr>
                <w:rFonts w:ascii="Times New Roman" w:hAnsi="华文仿宋" w:eastAsia="华文仿宋" w:cs="Times New Roman"/>
                <w:color w:val="000000"/>
                <w:sz w:val="24"/>
                <w:szCs w:val="24"/>
              </w:rPr>
              <w:t>元）</w:t>
            </w:r>
            <w:r>
              <w:rPr>
                <w:rFonts w:ascii="Times New Roman" w:hAnsi="Times New Roman" w:eastAsia="华文仿宋" w:cs="Times New Roman"/>
                <w:color w:val="000000"/>
                <w:sz w:val="24"/>
                <w:szCs w:val="24"/>
              </w:rPr>
              <w:t xml:space="preserve"> Offering Size of the CDR</w:t>
            </w:r>
            <w:r>
              <w:rPr>
                <w:rFonts w:ascii="Times New Roman" w:hAnsi="华文仿宋" w:eastAsia="华文仿宋" w:cs="Times New Roman"/>
                <w:color w:val="000000"/>
                <w:sz w:val="24"/>
                <w:szCs w:val="24"/>
              </w:rPr>
              <w:t>（</w:t>
            </w:r>
            <w:r>
              <w:rPr>
                <w:rFonts w:ascii="Times New Roman" w:hAnsi="Times New Roman" w:eastAsia="华文仿宋" w:cs="Times New Roman"/>
                <w:color w:val="000000"/>
                <w:sz w:val="24"/>
                <w:szCs w:val="24"/>
              </w:rPr>
              <w:t>RMB</w:t>
            </w:r>
            <w:r>
              <w:rPr>
                <w:rFonts w:ascii="Times New Roman" w:hAnsi="华文仿宋" w:eastAsia="华文仿宋" w:cs="Times New Roman"/>
                <w:color w:val="000000"/>
                <w:sz w:val="24"/>
                <w:szCs w:val="24"/>
              </w:rPr>
              <w:t>）</w:t>
            </w:r>
          </w:p>
        </w:tc>
        <w:tc>
          <w:tcPr>
            <w:tcW w:w="1723"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华文仿宋" w:cs="Times New Roman"/>
                <w:color w:val="000000"/>
                <w:sz w:val="24"/>
                <w:szCs w:val="24"/>
              </w:rPr>
            </w:pPr>
            <w:r>
              <w:rPr>
                <w:rFonts w:ascii="Times New Roman" w:hAnsi="华文仿宋" w:eastAsia="华文仿宋" w:cs="Times New Roman"/>
                <w:color w:val="000000"/>
                <w:sz w:val="24"/>
                <w:szCs w:val="24"/>
              </w:rPr>
              <w:t>　</w:t>
            </w:r>
          </w:p>
        </w:tc>
      </w:tr>
      <w:tr>
        <w:trPr>
          <w:trHeight w:val="1219" w:hRule="atLeast"/>
        </w:trPr>
        <w:tc>
          <w:tcPr>
            <w:tcW w:w="3087"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华文仿宋" w:cs="Times New Roman"/>
                <w:color w:val="000000"/>
                <w:sz w:val="24"/>
                <w:szCs w:val="24"/>
              </w:rPr>
            </w:pPr>
            <w:r>
              <w:rPr>
                <w:rFonts w:ascii="Times New Roman" w:hAnsi="华文仿宋" w:eastAsia="华文仿宋" w:cs="Times New Roman"/>
                <w:color w:val="000000"/>
                <w:sz w:val="24"/>
                <w:szCs w:val="24"/>
              </w:rPr>
              <w:t>每股存托凭证代表基础证券份额</w:t>
            </w:r>
            <w:r>
              <w:rPr>
                <w:rFonts w:ascii="Times New Roman" w:hAnsi="Times New Roman" w:eastAsia="华文仿宋" w:cs="Times New Roman"/>
                <w:color w:val="000000"/>
                <w:sz w:val="24"/>
                <w:szCs w:val="24"/>
              </w:rPr>
              <w:t>Number of Underlying Shares Represented by Each CDR</w:t>
            </w:r>
          </w:p>
        </w:tc>
        <w:tc>
          <w:tcPr>
            <w:tcW w:w="1559"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华文仿宋" w:cs="Times New Roman"/>
                <w:color w:val="000000"/>
                <w:sz w:val="24"/>
                <w:szCs w:val="24"/>
              </w:rPr>
            </w:pPr>
            <w:r>
              <w:rPr>
                <w:rFonts w:ascii="Times New Roman" w:hAnsi="华文仿宋" w:eastAsia="华文仿宋" w:cs="Times New Roman"/>
                <w:color w:val="000000"/>
                <w:sz w:val="24"/>
                <w:szCs w:val="24"/>
              </w:rPr>
              <w:t>　</w:t>
            </w:r>
          </w:p>
        </w:tc>
        <w:tc>
          <w:tcPr>
            <w:tcW w:w="3544"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华文仿宋" w:cs="Times New Roman"/>
                <w:color w:val="000000"/>
                <w:sz w:val="24"/>
                <w:szCs w:val="24"/>
              </w:rPr>
            </w:pPr>
            <w:r>
              <w:rPr>
                <w:rFonts w:ascii="Times New Roman" w:hAnsi="华文仿宋" w:eastAsia="华文仿宋" w:cs="Times New Roman"/>
                <w:color w:val="000000"/>
                <w:sz w:val="24"/>
                <w:szCs w:val="24"/>
              </w:rPr>
              <w:t>每股存托凭证发行价格（人民币</w:t>
            </w:r>
            <w:r>
              <w:rPr>
                <w:rFonts w:ascii="Times New Roman" w:hAnsi="Times New Roman" w:eastAsia="华文仿宋" w:cs="Times New Roman"/>
                <w:color w:val="000000"/>
                <w:sz w:val="24"/>
                <w:szCs w:val="24"/>
              </w:rPr>
              <w:t>/</w:t>
            </w:r>
            <w:r>
              <w:rPr>
                <w:rFonts w:ascii="Times New Roman" w:hAnsi="华文仿宋" w:eastAsia="华文仿宋" w:cs="Times New Roman"/>
                <w:color w:val="000000"/>
                <w:sz w:val="24"/>
                <w:szCs w:val="24"/>
              </w:rPr>
              <w:t>元）</w:t>
            </w:r>
            <w:r>
              <w:rPr>
                <w:rFonts w:ascii="Times New Roman" w:hAnsi="Times New Roman" w:eastAsia="华文仿宋" w:cs="Times New Roman"/>
                <w:color w:val="000000"/>
                <w:sz w:val="24"/>
                <w:szCs w:val="24"/>
              </w:rPr>
              <w:t xml:space="preserve"> Offering Price</w:t>
            </w:r>
            <w:r>
              <w:rPr>
                <w:rFonts w:ascii="Times New Roman" w:hAnsi="华文仿宋" w:eastAsia="华文仿宋" w:cs="Times New Roman"/>
                <w:color w:val="000000"/>
                <w:sz w:val="24"/>
                <w:szCs w:val="24"/>
              </w:rPr>
              <w:t>（</w:t>
            </w:r>
            <w:r>
              <w:rPr>
                <w:rFonts w:ascii="Times New Roman" w:hAnsi="Times New Roman" w:eastAsia="华文仿宋" w:cs="Times New Roman"/>
                <w:color w:val="000000"/>
                <w:sz w:val="24"/>
                <w:szCs w:val="24"/>
              </w:rPr>
              <w:t>per CDR</w:t>
            </w:r>
            <w:r>
              <w:rPr>
                <w:rFonts w:ascii="Times New Roman" w:hAnsi="华文仿宋" w:eastAsia="华文仿宋" w:cs="Times New Roman"/>
                <w:color w:val="000000"/>
                <w:sz w:val="24"/>
                <w:szCs w:val="24"/>
              </w:rPr>
              <w:t>）（</w:t>
            </w:r>
            <w:r>
              <w:rPr>
                <w:rFonts w:ascii="Times New Roman" w:hAnsi="Times New Roman" w:eastAsia="华文仿宋" w:cs="Times New Roman"/>
                <w:color w:val="000000"/>
                <w:sz w:val="24"/>
                <w:szCs w:val="24"/>
              </w:rPr>
              <w:t>RMB</w:t>
            </w:r>
            <w:r>
              <w:rPr>
                <w:rFonts w:ascii="Times New Roman" w:hAnsi="华文仿宋" w:eastAsia="华文仿宋" w:cs="Times New Roman"/>
                <w:color w:val="000000"/>
                <w:sz w:val="24"/>
                <w:szCs w:val="24"/>
              </w:rPr>
              <w:t>）</w:t>
            </w:r>
          </w:p>
        </w:tc>
        <w:tc>
          <w:tcPr>
            <w:tcW w:w="1276"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华文仿宋" w:cs="Times New Roman"/>
                <w:color w:val="000000"/>
                <w:sz w:val="24"/>
                <w:szCs w:val="24"/>
              </w:rPr>
            </w:pPr>
            <w:r>
              <w:rPr>
                <w:rFonts w:ascii="Times New Roman" w:hAnsi="华文仿宋" w:eastAsia="华文仿宋" w:cs="Times New Roman"/>
                <w:color w:val="000000"/>
                <w:sz w:val="24"/>
                <w:szCs w:val="24"/>
              </w:rPr>
              <w:t>　</w:t>
            </w:r>
          </w:p>
        </w:tc>
        <w:tc>
          <w:tcPr>
            <w:tcW w:w="298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华文仿宋" w:cs="Times New Roman"/>
                <w:color w:val="000000"/>
                <w:sz w:val="24"/>
                <w:szCs w:val="24"/>
              </w:rPr>
            </w:pPr>
            <w:r>
              <w:rPr>
                <w:rFonts w:ascii="Times New Roman" w:hAnsi="华文仿宋" w:eastAsia="华文仿宋" w:cs="Times New Roman"/>
                <w:color w:val="000000"/>
                <w:sz w:val="24"/>
                <w:szCs w:val="24"/>
              </w:rPr>
              <w:t>发行上市日期</w:t>
            </w:r>
            <w:r>
              <w:rPr>
                <w:rFonts w:ascii="Times New Roman" w:hAnsi="Times New Roman" w:eastAsia="华文仿宋" w:cs="Times New Roman"/>
                <w:color w:val="000000"/>
                <w:sz w:val="24"/>
                <w:szCs w:val="24"/>
              </w:rPr>
              <w:t xml:space="preserve"> </w:t>
            </w:r>
          </w:p>
          <w:p>
            <w:pPr>
              <w:spacing w:line="300" w:lineRule="exact"/>
              <w:jc w:val="center"/>
              <w:rPr>
                <w:rFonts w:ascii="Times New Roman" w:hAnsi="Times New Roman" w:eastAsia="华文仿宋" w:cs="Times New Roman"/>
                <w:color w:val="000000"/>
                <w:sz w:val="24"/>
                <w:szCs w:val="24"/>
              </w:rPr>
            </w:pPr>
            <w:r>
              <w:rPr>
                <w:rFonts w:ascii="Times New Roman" w:hAnsi="Times New Roman" w:eastAsia="华文仿宋" w:cs="Times New Roman"/>
                <w:color w:val="000000"/>
                <w:sz w:val="24"/>
                <w:szCs w:val="24"/>
              </w:rPr>
              <w:t>Issuance &amp; Listing Date</w:t>
            </w:r>
            <w:r>
              <w:rPr>
                <w:rFonts w:ascii="Times New Roman" w:hAnsi="华文仿宋" w:eastAsia="华文仿宋" w:cs="Times New Roman"/>
                <w:color w:val="000000"/>
                <w:sz w:val="24"/>
                <w:szCs w:val="24"/>
              </w:rPr>
              <w:t>（</w:t>
            </w:r>
            <w:r>
              <w:rPr>
                <w:rFonts w:ascii="Times New Roman" w:hAnsi="Times New Roman" w:eastAsia="华文仿宋" w:cs="Times New Roman"/>
                <w:color w:val="000000"/>
                <w:sz w:val="24"/>
                <w:szCs w:val="24"/>
              </w:rPr>
              <w:t>YYYY-MM-DD</w:t>
            </w:r>
            <w:r>
              <w:rPr>
                <w:rFonts w:ascii="Times New Roman" w:hAnsi="华文仿宋" w:eastAsia="华文仿宋" w:cs="Times New Roman"/>
                <w:color w:val="000000"/>
                <w:sz w:val="24"/>
                <w:szCs w:val="24"/>
              </w:rPr>
              <w:t>）</w:t>
            </w:r>
          </w:p>
        </w:tc>
        <w:tc>
          <w:tcPr>
            <w:tcW w:w="1723"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华文仿宋" w:cs="Times New Roman"/>
                <w:color w:val="000000"/>
                <w:sz w:val="24"/>
                <w:szCs w:val="24"/>
              </w:rPr>
            </w:pPr>
            <w:r>
              <w:rPr>
                <w:rFonts w:ascii="Times New Roman" w:hAnsi="华文仿宋" w:eastAsia="华文仿宋" w:cs="Times New Roman"/>
                <w:color w:val="000000"/>
                <w:sz w:val="24"/>
                <w:szCs w:val="24"/>
              </w:rPr>
              <w:t>　</w:t>
            </w:r>
          </w:p>
        </w:tc>
      </w:tr>
      <w:tr>
        <w:trPr>
          <w:trHeight w:val="797" w:hRule="atLeast"/>
        </w:trPr>
        <w:tc>
          <w:tcPr>
            <w:tcW w:w="3087"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华文仿宋" w:cs="Times New Roman"/>
                <w:color w:val="000000"/>
                <w:sz w:val="24"/>
                <w:szCs w:val="24"/>
              </w:rPr>
            </w:pPr>
            <w:r>
              <w:rPr>
                <w:rFonts w:ascii="Times New Roman" w:hAnsi="华文仿宋" w:eastAsia="华文仿宋" w:cs="Times New Roman"/>
                <w:color w:val="000000"/>
                <w:sz w:val="24"/>
                <w:szCs w:val="24"/>
              </w:rPr>
              <w:t>拟留存境内金额</w:t>
            </w:r>
            <w:r>
              <w:rPr>
                <w:rFonts w:ascii="Times New Roman" w:hAnsi="Times New Roman" w:eastAsia="华文仿宋" w:cs="Times New Roman"/>
                <w:color w:val="000000"/>
                <w:sz w:val="24"/>
                <w:szCs w:val="24"/>
              </w:rPr>
              <w:t>Proposed Amount to be Retained for Domestic Use</w:t>
            </w:r>
          </w:p>
        </w:tc>
        <w:tc>
          <w:tcPr>
            <w:tcW w:w="1559" w:type="dxa"/>
            <w:gridSpan w:val="2"/>
            <w:tcBorders>
              <w:top w:val="single" w:color="auto" w:sz="4" w:space="0"/>
              <w:left w:val="nil"/>
              <w:bottom w:val="single" w:color="auto" w:sz="4" w:space="0"/>
              <w:right w:val="single" w:color="auto" w:sz="4" w:space="0"/>
            </w:tcBorders>
            <w:vAlign w:val="center"/>
          </w:tcPr>
          <w:p>
            <w:pPr>
              <w:spacing w:line="300" w:lineRule="exact"/>
              <w:rPr>
                <w:rFonts w:ascii="Times New Roman" w:hAnsi="Times New Roman" w:eastAsia="宋体" w:cs="Times New Roman"/>
                <w:color w:val="000000"/>
                <w:sz w:val="24"/>
                <w:szCs w:val="24"/>
              </w:rPr>
            </w:pPr>
            <w:r>
              <w:rPr>
                <w:rFonts w:ascii="Times New Roman" w:hAnsi="Calibri" w:eastAsia="宋体" w:cs="Times New Roman"/>
                <w:color w:val="000000"/>
                <w:sz w:val="24"/>
                <w:szCs w:val="24"/>
              </w:rPr>
              <w:t>　</w:t>
            </w:r>
          </w:p>
        </w:tc>
        <w:tc>
          <w:tcPr>
            <w:tcW w:w="3544"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华文仿宋" w:cs="Times New Roman"/>
                <w:color w:val="000000"/>
                <w:sz w:val="24"/>
                <w:szCs w:val="24"/>
              </w:rPr>
            </w:pPr>
            <w:r>
              <w:rPr>
                <w:rFonts w:ascii="Times New Roman" w:hAnsi="华文仿宋" w:eastAsia="华文仿宋" w:cs="Times New Roman"/>
                <w:color w:val="000000"/>
                <w:sz w:val="24"/>
                <w:szCs w:val="24"/>
              </w:rPr>
              <w:t>拟汇出境外金额</w:t>
            </w:r>
            <w:r>
              <w:rPr>
                <w:rFonts w:ascii="Times New Roman" w:hAnsi="Times New Roman" w:eastAsia="华文仿宋" w:cs="Times New Roman"/>
                <w:color w:val="000000"/>
                <w:sz w:val="24"/>
                <w:szCs w:val="24"/>
              </w:rPr>
              <w:t>Proposed Amount to be Remitted Abroad</w:t>
            </w:r>
          </w:p>
        </w:tc>
        <w:tc>
          <w:tcPr>
            <w:tcW w:w="1276" w:type="dxa"/>
            <w:gridSpan w:val="2"/>
            <w:tcBorders>
              <w:top w:val="single" w:color="auto" w:sz="4" w:space="0"/>
              <w:left w:val="nil"/>
              <w:bottom w:val="single" w:color="auto" w:sz="4" w:space="0"/>
              <w:right w:val="single" w:color="auto" w:sz="4" w:space="0"/>
            </w:tcBorders>
            <w:vAlign w:val="center"/>
          </w:tcPr>
          <w:p>
            <w:pPr>
              <w:spacing w:line="300" w:lineRule="exact"/>
              <w:rPr>
                <w:rFonts w:ascii="Times New Roman" w:hAnsi="Times New Roman" w:eastAsia="宋体" w:cs="Times New Roman"/>
                <w:color w:val="000000"/>
                <w:sz w:val="24"/>
                <w:szCs w:val="24"/>
              </w:rPr>
            </w:pPr>
            <w:r>
              <w:rPr>
                <w:rFonts w:ascii="Times New Roman" w:hAnsi="Calibri" w:eastAsia="宋体" w:cs="Times New Roman"/>
                <w:color w:val="000000"/>
                <w:sz w:val="24"/>
                <w:szCs w:val="24"/>
              </w:rPr>
              <w:t>　</w:t>
            </w:r>
          </w:p>
        </w:tc>
        <w:tc>
          <w:tcPr>
            <w:tcW w:w="298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华文仿宋" w:cs="Times New Roman"/>
                <w:color w:val="000000"/>
                <w:sz w:val="24"/>
                <w:szCs w:val="24"/>
              </w:rPr>
            </w:pPr>
            <w:r>
              <w:rPr>
                <w:rFonts w:ascii="Times New Roman" w:hAnsi="华文仿宋" w:eastAsia="华文仿宋" w:cs="Times New Roman"/>
                <w:color w:val="000000"/>
                <w:sz w:val="24"/>
                <w:szCs w:val="24"/>
              </w:rPr>
              <w:t>其中拟购汇金额</w:t>
            </w:r>
          </w:p>
          <w:p>
            <w:pPr>
              <w:spacing w:line="300" w:lineRule="exact"/>
              <w:jc w:val="center"/>
              <w:rPr>
                <w:rFonts w:ascii="Times New Roman" w:hAnsi="Times New Roman" w:eastAsia="华文仿宋" w:cs="Times New Roman"/>
                <w:color w:val="000000"/>
                <w:sz w:val="24"/>
                <w:szCs w:val="24"/>
              </w:rPr>
            </w:pPr>
            <w:r>
              <w:rPr>
                <w:rFonts w:ascii="Times New Roman" w:hAnsi="Times New Roman" w:eastAsia="华文仿宋" w:cs="Times New Roman"/>
                <w:color w:val="000000"/>
                <w:sz w:val="24"/>
                <w:szCs w:val="24"/>
              </w:rPr>
              <w:t>Proposed Amount to Purchase Foreign Exchange</w:t>
            </w:r>
          </w:p>
        </w:tc>
        <w:tc>
          <w:tcPr>
            <w:tcW w:w="1723"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华文仿宋" w:cs="Times New Roman"/>
                <w:color w:val="000000"/>
                <w:sz w:val="24"/>
                <w:szCs w:val="24"/>
              </w:rPr>
            </w:pPr>
            <w:r>
              <w:rPr>
                <w:rFonts w:ascii="Times New Roman" w:hAnsi="华文仿宋" w:eastAsia="华文仿宋" w:cs="Times New Roman"/>
                <w:color w:val="000000"/>
                <w:sz w:val="24"/>
                <w:szCs w:val="24"/>
              </w:rPr>
              <w:t>　</w:t>
            </w:r>
          </w:p>
        </w:tc>
      </w:tr>
      <w:tr>
        <w:trPr>
          <w:trHeight w:val="844" w:hRule="atLeast"/>
        </w:trPr>
        <w:tc>
          <w:tcPr>
            <w:tcW w:w="14174" w:type="dxa"/>
            <w:gridSpan w:val="12"/>
            <w:tcBorders>
              <w:top w:val="single" w:color="auto" w:sz="4" w:space="0"/>
              <w:left w:val="single" w:color="auto" w:sz="4" w:space="0"/>
              <w:bottom w:val="single" w:color="auto" w:sz="4" w:space="0"/>
              <w:right w:val="single" w:color="auto" w:sz="4" w:space="0"/>
            </w:tcBorders>
            <w:vAlign w:val="center"/>
          </w:tcPr>
          <w:p>
            <w:pPr>
              <w:widowControl/>
              <w:spacing w:line="420" w:lineRule="exact"/>
              <w:ind w:firstLine="480" w:firstLineChars="200"/>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本机构承诺上述所填写内容及所附材料真实、准确、无虚假信息，并承诺严格按照外汇管理规定开展相关业务，接受外汇局监督、管理和检查。We declare that the information on this form and material attached is true, correct and without any false statement, we further certify that we shall strictly follow the foreign exchange regulations to carry out related business, and accept the administration, supervision and inspection by SAFE.</w:t>
            </w:r>
          </w:p>
          <w:p>
            <w:pPr>
              <w:widowControl/>
              <w:spacing w:line="420" w:lineRule="exact"/>
              <w:ind w:firstLine="3120" w:firstLineChars="1300"/>
              <w:jc w:val="left"/>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境外基础证券发行人（签章）Issuer （Authorized Signature）：</w:t>
            </w:r>
          </w:p>
          <w:p>
            <w:pPr>
              <w:spacing w:line="420" w:lineRule="exact"/>
              <w:jc w:val="center"/>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 xml:space="preserve">                                                                  年   月   日 (YYYY-MM-DD)</w:t>
            </w:r>
          </w:p>
        </w:tc>
      </w:tr>
    </w:tbl>
    <w:p>
      <w:pPr>
        <w:adjustRightInd w:val="0"/>
        <w:snapToGrid w:val="0"/>
        <w:spacing w:line="360" w:lineRule="auto"/>
        <w:rPr>
          <w:rFonts w:ascii="Times New Roman" w:hAnsi="Times New Roman" w:eastAsia="仿宋_GB2312" w:cs="Times New Roman"/>
          <w:sz w:val="30"/>
          <w:szCs w:val="30"/>
        </w:rPr>
        <w:sectPr>
          <w:footerReference r:id="rId6" w:type="default"/>
          <w:pgSz w:w="16838" w:h="11906" w:orient="landscape"/>
          <w:pgMar w:top="1797" w:right="1440" w:bottom="1797" w:left="1440" w:header="851" w:footer="992" w:gutter="0"/>
          <w:cols w:space="720" w:num="1"/>
          <w:docGrid w:type="linesAndChars" w:linePitch="312"/>
        </w:sectPr>
      </w:pPr>
    </w:p>
    <w:p>
      <w:pPr>
        <w:adjustRightInd w:val="0"/>
        <w:snapToGrid w:val="0"/>
        <w:spacing w:line="360" w:lineRule="auto"/>
        <w:rPr>
          <w:rFonts w:ascii="Times New Roman" w:hAnsi="Times New Roman" w:eastAsia="仿宋_GB2312" w:cs="Times New Roman"/>
          <w:sz w:val="30"/>
          <w:szCs w:val="30"/>
        </w:rPr>
      </w:pPr>
      <w:r>
        <w:rPr>
          <w:rFonts w:ascii="Times New Roman" w:hAnsi="Times New Roman" w:eastAsia="仿宋_GB2312" w:cs="Times New Roman"/>
          <w:sz w:val="30"/>
          <w:szCs w:val="30"/>
        </w:rPr>
        <w:t>附录三</w:t>
      </w:r>
    </w:p>
    <w:p>
      <w:pPr>
        <w:adjustRightInd w:val="0"/>
        <w:snapToGrid w:val="0"/>
        <w:spacing w:line="360" w:lineRule="auto"/>
        <w:jc w:val="center"/>
        <w:rPr>
          <w:rFonts w:ascii="Times New Roman" w:hAnsi="Times New Roman" w:eastAsia="黑体" w:cs="Times New Roman"/>
          <w:sz w:val="30"/>
          <w:szCs w:val="30"/>
        </w:rPr>
      </w:pPr>
    </w:p>
    <w:p>
      <w:pPr>
        <w:adjustRightInd w:val="0"/>
        <w:snapToGrid w:val="0"/>
        <w:spacing w:line="360" w:lineRule="auto"/>
        <w:jc w:val="center"/>
        <w:rPr>
          <w:rFonts w:ascii="Times New Roman" w:hAnsi="Times New Roman" w:eastAsia="黑体" w:cs="Times New Roman"/>
          <w:sz w:val="30"/>
          <w:szCs w:val="30"/>
        </w:rPr>
      </w:pPr>
      <w:r>
        <w:rPr>
          <w:rFonts w:ascii="Times New Roman" w:hAnsi="Times New Roman" w:eastAsia="黑体" w:cs="Times New Roman"/>
          <w:sz w:val="30"/>
          <w:szCs w:val="30"/>
        </w:rPr>
        <w:t>常见问题</w:t>
      </w:r>
    </w:p>
    <w:p>
      <w:pPr>
        <w:adjustRightInd w:val="0"/>
        <w:snapToGrid w:val="0"/>
        <w:spacing w:line="360" w:lineRule="auto"/>
        <w:jc w:val="center"/>
        <w:rPr>
          <w:rFonts w:ascii="Times New Roman" w:hAnsi="Times New Roman" w:eastAsia="黑体" w:cs="Times New Roman"/>
          <w:sz w:val="30"/>
          <w:szCs w:val="30"/>
        </w:rPr>
      </w:pPr>
    </w:p>
    <w:p>
      <w:pPr>
        <w:widowControl/>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问：以新增证券为基础发行中国存托凭证，应开立什么账户？</w:t>
      </w:r>
    </w:p>
    <w:p>
      <w:pPr>
        <w:widowControl/>
        <w:ind w:firstLine="600" w:firstLineChars="200"/>
        <w:rPr>
          <w:rFonts w:ascii="Times New Roman" w:hAnsi="Times New Roman" w:eastAsia="仿宋_GB2312" w:cs="Times New Roman"/>
          <w:sz w:val="30"/>
          <w:szCs w:val="30"/>
        </w:rPr>
      </w:pPr>
      <w:r>
        <w:rPr>
          <w:rFonts w:ascii="Times New Roman" w:hAnsi="Times New Roman" w:eastAsia="仿宋_GB2312" w:cs="Times New Roman"/>
          <w:kern w:val="0"/>
          <w:sz w:val="30"/>
          <w:szCs w:val="30"/>
        </w:rPr>
        <w:t>答：境外发行人以新增证券为基础发行中国存托凭证的，应在办理业务登记后，开立募集资金专用账户（账户性质为3400 境外机构/个人境内账户）。</w:t>
      </w:r>
    </w:p>
    <w:sectPr>
      <w:pgSz w:w="11906" w:h="16838"/>
      <w:pgMar w:top="1440" w:right="1797" w:bottom="1440" w:left="1797"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0F3C52" w:usb2="00000016" w:usb3="00000000" w:csb0="0004001F" w:csb1="00000000"/>
  </w:font>
  <w:font w:name="Calibri">
    <w:panose1 w:val="020F0502020204030204"/>
    <w:charset w:val="00"/>
    <w:family w:val="auto"/>
    <w:pitch w:val="default"/>
    <w:sig w:usb0="A00002EF" w:usb1="4000207B" w:usb2="00000000" w:usb3="00000000" w:csb0="2000009F" w:csb1="00000000"/>
  </w:font>
  <w:font w:name="Cambria">
    <w:panose1 w:val="02040503050406030204"/>
    <w:charset w:val="00"/>
    <w:family w:val="auto"/>
    <w:pitch w:val="default"/>
    <w:sig w:usb0="A00002EF" w:usb1="4000004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华文仿宋">
    <w:altName w:val="仿宋_GB2312"/>
    <w:panose1 w:val="02010600040101010101"/>
    <w:charset w:val="86"/>
    <w:family w:val="auto"/>
    <w:pitch w:val="default"/>
    <w:sig w:usb0="00000287" w:usb1="080F0000" w:usb2="00000000" w:usb3="00000000" w:csb0="0004009F" w:csb1="DFD70000"/>
  </w:font>
  <w:font w:name="仿宋">
    <w:altName w:val="仿宋_GB2312"/>
    <w:panose1 w:val="02010609060101010101"/>
    <w:charset w:val="86"/>
    <w:family w:val="auto"/>
    <w:pitch w:val="default"/>
    <w:sig w:usb0="800002BF" w:usb1="38CF7CFA" w:usb2="00000016" w:usb3="00000000" w:csb0="00040001" w:csb1="00000000"/>
  </w:font>
  <w:font w:name="华文楷体">
    <w:altName w:val="楷体_GB2312"/>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楷体">
    <w:altName w:val="楷体_GB2312"/>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jc w:val="center"/>
    </w:pPr>
    <w:r>
      <w:fldChar w:fldCharType="begin"/>
    </w:r>
    <w:r>
      <w:instrText xml:space="preserve"> PAGE   \* MERGEFORMAT </w:instrText>
    </w:r>
    <w:r>
      <w:fldChar w:fldCharType="separate"/>
    </w:r>
    <w:r>
      <w:rPr>
        <w:lang w:val="zh-CN"/>
      </w:rPr>
      <w:t>1</w:t>
    </w:r>
    <w:r>
      <w:rPr>
        <w:lang w:val="zh-CN"/>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jc w:val="center"/>
    </w:pPr>
    <w:r>
      <w:fldChar w:fldCharType="begin"/>
    </w:r>
    <w:r>
      <w:instrText xml:space="preserve"> PAGE   \* MERGEFORMAT </w:instrText>
    </w:r>
    <w:r>
      <w:fldChar w:fldCharType="separate"/>
    </w:r>
    <w:r>
      <w:rPr>
        <w:lang w:val="zh-CN"/>
      </w:rPr>
      <w:t>2</w:t>
    </w:r>
    <w:r>
      <w:rPr>
        <w:lang w:val="zh-CN"/>
      </w:rP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jc w:val="center"/>
    </w:pPr>
    <w:r>
      <w:fldChar w:fldCharType="begin"/>
    </w:r>
    <w:r>
      <w:instrText xml:space="preserve"> PAGE   \* MERGEFORMAT </w:instrText>
    </w:r>
    <w:r>
      <w:fldChar w:fldCharType="separate"/>
    </w:r>
    <w:r>
      <w:rPr>
        <w:lang w:val="zh-CN"/>
      </w:rPr>
      <w:t>9</w:t>
    </w:r>
    <w:r>
      <w:rPr>
        <w:lang w:val="zh-CN"/>
      </w:rP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0" w:semiHidden="0"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name="annotation subject"/>
    <w:lsdException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31"/>
    <w:qFormat/>
    <w:uiPriority w:val="9"/>
    <w:pPr>
      <w:ind w:firstLine="600" w:firstLineChars="200"/>
      <w:outlineLvl w:val="0"/>
    </w:pPr>
    <w:rPr>
      <w:rFonts w:ascii="黑体" w:hAnsi="黑体" w:eastAsia="黑体" w:cs="宋体"/>
      <w:color w:val="000000"/>
      <w:kern w:val="0"/>
      <w:sz w:val="30"/>
      <w:szCs w:val="30"/>
    </w:rPr>
  </w:style>
  <w:style w:type="paragraph" w:styleId="3">
    <w:name w:val="heading 2"/>
    <w:basedOn w:val="1"/>
    <w:next w:val="1"/>
    <w:link w:val="32"/>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33"/>
    <w:qFormat/>
    <w:uiPriority w:val="9"/>
    <w:pPr>
      <w:ind w:right="300"/>
      <w:outlineLvl w:val="2"/>
    </w:pPr>
    <w:rPr>
      <w:rFonts w:ascii="仿宋_GB2312" w:hAnsi="Calibri" w:eastAsia="仿宋_GB2312" w:cs="Times New Roman"/>
      <w:sz w:val="30"/>
      <w:szCs w:val="30"/>
    </w:rPr>
  </w:style>
  <w:style w:type="character" w:default="1" w:styleId="12">
    <w:name w:val="Default Paragraph Font"/>
    <w:semiHidden/>
    <w:unhideWhenUsed/>
    <w:uiPriority w:val="1"/>
  </w:style>
  <w:style w:type="paragraph" w:styleId="5">
    <w:name w:val="Document Map"/>
    <w:basedOn w:val="1"/>
    <w:link w:val="36"/>
    <w:unhideWhenUsed/>
    <w:qFormat/>
    <w:uiPriority w:val="0"/>
    <w:rPr>
      <w:rFonts w:ascii="宋体"/>
      <w:sz w:val="18"/>
      <w:szCs w:val="18"/>
    </w:rPr>
  </w:style>
  <w:style w:type="paragraph" w:styleId="6">
    <w:name w:val="annotation text"/>
    <w:basedOn w:val="1"/>
    <w:link w:val="30"/>
    <w:unhideWhenUsed/>
    <w:uiPriority w:val="99"/>
    <w:pPr>
      <w:jc w:val="left"/>
    </w:pPr>
    <w:rPr>
      <w:rFonts w:ascii="Calibri" w:hAnsi="Calibri" w:eastAsia="宋体" w:cs="Times New Roman"/>
    </w:rPr>
  </w:style>
  <w:style w:type="paragraph" w:styleId="7">
    <w:name w:val="Balloon Text"/>
    <w:basedOn w:val="1"/>
    <w:link w:val="28"/>
    <w:unhideWhenUsed/>
    <w:uiPriority w:val="0"/>
    <w:rPr>
      <w:sz w:val="18"/>
      <w:szCs w:val="18"/>
    </w:rPr>
  </w:style>
  <w:style w:type="paragraph" w:styleId="8">
    <w:name w:val="footer"/>
    <w:basedOn w:val="1"/>
    <w:link w:val="27"/>
    <w:unhideWhenUsed/>
    <w:uiPriority w:val="99"/>
    <w:pPr>
      <w:tabs>
        <w:tab w:val="center" w:pos="4153"/>
        <w:tab w:val="right" w:pos="8306"/>
      </w:tabs>
      <w:snapToGrid w:val="0"/>
      <w:jc w:val="left"/>
    </w:pPr>
    <w:rPr>
      <w:sz w:val="18"/>
      <w:szCs w:val="18"/>
    </w:rPr>
  </w:style>
  <w:style w:type="paragraph" w:styleId="9">
    <w:name w:val="header"/>
    <w:basedOn w:val="1"/>
    <w:link w:val="26"/>
    <w:unhideWhenUsed/>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link w:val="34"/>
    <w:semiHidden/>
    <w:qFormat/>
    <w:uiPriority w:val="0"/>
    <w:pPr>
      <w:snapToGrid w:val="0"/>
      <w:jc w:val="left"/>
    </w:pPr>
    <w:rPr>
      <w:kern w:val="2"/>
      <w:sz w:val="18"/>
      <w:szCs w:val="18"/>
    </w:rPr>
  </w:style>
  <w:style w:type="character" w:customStyle="1" w:styleId="11">
    <w:name w:val="脚注文本 Char"/>
    <w:basedOn w:val="12"/>
    <w:semiHidden/>
    <w:uiPriority w:val="99"/>
    <w:rPr>
      <w:kern w:val="2"/>
      <w:sz w:val="18"/>
      <w:szCs w:val="18"/>
    </w:rPr>
  </w:style>
  <w:style w:type="paragraph" w:styleId="13">
    <w:name w:val="HTML Preformatted"/>
    <w:basedOn w:val="1"/>
    <w:link w:val="29"/>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5">
    <w:name w:val="Hyperlink"/>
    <w:basedOn w:val="12"/>
    <w:unhideWhenUsed/>
    <w:uiPriority w:val="99"/>
    <w:rPr>
      <w:rFonts w:hint="default" w:ascii="ˎ̥" w:hAnsi="ˎ̥"/>
      <w:color w:val="0453CC"/>
      <w:sz w:val="20"/>
      <w:szCs w:val="20"/>
      <w:u w:val="none"/>
    </w:rPr>
  </w:style>
  <w:style w:type="character" w:styleId="16">
    <w:name w:val="annotation reference"/>
    <w:basedOn w:val="12"/>
    <w:semiHidden/>
    <w:unhideWhenUsed/>
    <w:qFormat/>
    <w:uiPriority w:val="0"/>
    <w:rPr>
      <w:sz w:val="21"/>
      <w:szCs w:val="21"/>
    </w:rPr>
  </w:style>
  <w:style w:type="character" w:styleId="17">
    <w:name w:val="footnote reference"/>
    <w:unhideWhenUsed/>
    <w:qFormat/>
    <w:uiPriority w:val="0"/>
    <w:rPr>
      <w:rFonts w:ascii="Times New Roman" w:hAnsi="Times New Roman" w:cs="Times New Roman"/>
      <w:vertAlign w:val="superscript"/>
    </w:rPr>
  </w:style>
  <w:style w:type="paragraph" w:customStyle="1" w:styleId="18">
    <w:name w:val="List Paragraph"/>
    <w:basedOn w:val="1"/>
    <w:qFormat/>
    <w:uiPriority w:val="34"/>
    <w:pPr>
      <w:ind w:firstLine="420" w:firstLineChars="200"/>
    </w:pPr>
  </w:style>
  <w:style w:type="paragraph" w:customStyle="1" w:styleId="19">
    <w:name w:val="Default"/>
    <w:uiPriority w:val="99"/>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 w:type="paragraph" w:customStyle="1" w:styleId="20">
    <w:name w:val="juzhong"/>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1">
    <w:name w:val="Revision"/>
    <w:hidden/>
    <w:semiHidden/>
    <w:qFormat/>
    <w:uiPriority w:val="99"/>
    <w:rPr>
      <w:rFonts w:ascii="Calibri" w:hAnsi="Calibri" w:eastAsia="宋体" w:cs="黑体"/>
      <w:kern w:val="2"/>
      <w:sz w:val="21"/>
      <w:szCs w:val="22"/>
      <w:lang w:val="en-US" w:eastAsia="zh-CN" w:bidi="ar-SA"/>
    </w:rPr>
  </w:style>
  <w:style w:type="paragraph" w:customStyle="1" w:styleId="22">
    <w:name w:val="列出段落1"/>
    <w:basedOn w:val="1"/>
    <w:qFormat/>
    <w:uiPriority w:val="34"/>
    <w:pPr>
      <w:ind w:firstLine="420" w:firstLineChars="200"/>
    </w:pPr>
    <w:rPr>
      <w:rFonts w:ascii="Calibri" w:hAnsi="Calibri" w:eastAsia="宋体" w:cs="Times New Roman"/>
    </w:rPr>
  </w:style>
  <w:style w:type="paragraph" w:customStyle="1" w:styleId="23">
    <w:name w:val="列出段落4"/>
    <w:basedOn w:val="1"/>
    <w:qFormat/>
    <w:uiPriority w:val="0"/>
    <w:pPr>
      <w:ind w:firstLine="200" w:firstLineChars="200"/>
    </w:pPr>
    <w:rPr>
      <w:rFonts w:ascii="Calibri" w:hAnsi="Calibri" w:eastAsia="宋体" w:cs="Times New Roman"/>
    </w:rPr>
  </w:style>
  <w:style w:type="paragraph" w:customStyle="1" w:styleId="24">
    <w:name w:val="列出段落3"/>
    <w:basedOn w:val="1"/>
    <w:qFormat/>
    <w:uiPriority w:val="0"/>
    <w:pPr>
      <w:ind w:firstLine="420" w:firstLineChars="200"/>
    </w:pPr>
    <w:rPr>
      <w:rFonts w:ascii="Times New Roman" w:hAnsi="Times New Roman" w:eastAsia="宋体" w:cs="Times New Roman"/>
      <w:szCs w:val="24"/>
    </w:rPr>
  </w:style>
  <w:style w:type="paragraph" w:customStyle="1" w:styleId="25">
    <w:name w:val="p0"/>
    <w:basedOn w:val="1"/>
    <w:qFormat/>
    <w:uiPriority w:val="0"/>
    <w:pPr>
      <w:widowControl/>
    </w:pPr>
    <w:rPr>
      <w:rFonts w:ascii="Calibri" w:hAnsi="Calibri" w:eastAsia="宋体" w:cs="宋体"/>
      <w:kern w:val="0"/>
      <w:szCs w:val="21"/>
    </w:rPr>
  </w:style>
  <w:style w:type="character" w:customStyle="1" w:styleId="26">
    <w:name w:val="页眉 Char Char"/>
    <w:basedOn w:val="12"/>
    <w:link w:val="9"/>
    <w:uiPriority w:val="99"/>
    <w:rPr>
      <w:sz w:val="18"/>
      <w:szCs w:val="18"/>
    </w:rPr>
  </w:style>
  <w:style w:type="character" w:customStyle="1" w:styleId="27">
    <w:name w:val="页脚 Char Char"/>
    <w:basedOn w:val="12"/>
    <w:link w:val="8"/>
    <w:uiPriority w:val="99"/>
    <w:rPr>
      <w:sz w:val="18"/>
      <w:szCs w:val="18"/>
    </w:rPr>
  </w:style>
  <w:style w:type="character" w:customStyle="1" w:styleId="28">
    <w:name w:val="批注框文本 Char Char"/>
    <w:basedOn w:val="12"/>
    <w:link w:val="7"/>
    <w:uiPriority w:val="0"/>
    <w:rPr>
      <w:sz w:val="18"/>
      <w:szCs w:val="18"/>
    </w:rPr>
  </w:style>
  <w:style w:type="character" w:customStyle="1" w:styleId="29">
    <w:name w:val="HTML 预设格式 Char Char"/>
    <w:basedOn w:val="12"/>
    <w:link w:val="13"/>
    <w:uiPriority w:val="99"/>
    <w:rPr>
      <w:rFonts w:ascii="宋体" w:hAnsi="宋体" w:eastAsia="宋体" w:cs="宋体"/>
      <w:kern w:val="0"/>
      <w:sz w:val="24"/>
      <w:szCs w:val="24"/>
    </w:rPr>
  </w:style>
  <w:style w:type="character" w:customStyle="1" w:styleId="30">
    <w:name w:val="批注文字 Char Char"/>
    <w:basedOn w:val="12"/>
    <w:link w:val="6"/>
    <w:uiPriority w:val="0"/>
    <w:rPr>
      <w:rFonts w:ascii="Calibri" w:hAnsi="Calibri" w:eastAsia="宋体" w:cs="Times New Roman"/>
    </w:rPr>
  </w:style>
  <w:style w:type="character" w:customStyle="1" w:styleId="31">
    <w:name w:val="标题 1 Char Char"/>
    <w:basedOn w:val="12"/>
    <w:link w:val="2"/>
    <w:uiPriority w:val="9"/>
    <w:rPr>
      <w:rFonts w:ascii="黑体" w:hAnsi="黑体" w:eastAsia="黑体" w:cs="宋体"/>
      <w:color w:val="000000"/>
      <w:kern w:val="0"/>
      <w:sz w:val="30"/>
      <w:szCs w:val="30"/>
    </w:rPr>
  </w:style>
  <w:style w:type="character" w:customStyle="1" w:styleId="32">
    <w:name w:val="标题 2 Char Char"/>
    <w:basedOn w:val="12"/>
    <w:link w:val="3"/>
    <w:uiPriority w:val="0"/>
    <w:rPr>
      <w:rFonts w:ascii="Cambria" w:hAnsi="Cambria" w:eastAsia="宋体" w:cs="Times New Roman"/>
      <w:b/>
      <w:bCs/>
      <w:sz w:val="32"/>
      <w:szCs w:val="32"/>
    </w:rPr>
  </w:style>
  <w:style w:type="character" w:customStyle="1" w:styleId="33">
    <w:name w:val="标题 3 Char Char"/>
    <w:basedOn w:val="12"/>
    <w:link w:val="4"/>
    <w:uiPriority w:val="9"/>
    <w:rPr>
      <w:rFonts w:ascii="仿宋_GB2312" w:hAnsi="Calibri" w:eastAsia="仿宋_GB2312" w:cs="Times New Roman"/>
      <w:sz w:val="30"/>
      <w:szCs w:val="30"/>
    </w:rPr>
  </w:style>
  <w:style w:type="character" w:customStyle="1" w:styleId="34">
    <w:name w:val="脚注文本 Char1"/>
    <w:basedOn w:val="12"/>
    <w:link w:val="10"/>
    <w:uiPriority w:val="0"/>
    <w:rPr>
      <w:rFonts w:ascii="Times New Roman" w:hAnsi="Times New Roman"/>
      <w:sz w:val="18"/>
      <w:szCs w:val="18"/>
    </w:rPr>
  </w:style>
  <w:style w:type="character" w:customStyle="1" w:styleId="35">
    <w:name w:val="标题 4 Char Char"/>
    <w:qFormat/>
    <w:uiPriority w:val="0"/>
    <w:rPr>
      <w:rFonts w:ascii="Calibri" w:hAnsi="Calibri"/>
      <w:b/>
      <w:bCs/>
      <w:sz w:val="28"/>
      <w:szCs w:val="28"/>
      <w:lang w:eastAsia="en-US" w:bidi="en-US"/>
    </w:rPr>
  </w:style>
  <w:style w:type="character" w:customStyle="1" w:styleId="36">
    <w:name w:val="文档结构图 Char Char"/>
    <w:basedOn w:val="12"/>
    <w:link w:val="5"/>
    <w:uiPriority w:val="0"/>
    <w:rPr>
      <w:rFonts w:ascii="宋体"/>
      <w:sz w:val="18"/>
      <w:szCs w:val="18"/>
    </w:rPr>
  </w:style>
  <w:style w:type="character" w:customStyle="1" w:styleId="37">
    <w:name w:val="批注文字 Char1"/>
    <w:basedOn w:val="12"/>
    <w:semiHidden/>
    <w:qFormat/>
    <w:uiPriority w:val="99"/>
    <w:rPr>
      <w:kern w:val="2"/>
      <w:sz w:val="21"/>
      <w:szCs w:val="22"/>
    </w:rPr>
  </w:style>
  <w:style w:type="character" w:customStyle="1" w:styleId="38">
    <w:name w:val="Intense Emphasis"/>
    <w:basedOn w:val="12"/>
    <w:qFormat/>
    <w:uiPriority w:val="21"/>
    <w:rPr>
      <w:b/>
      <w:bCs/>
      <w:i/>
      <w:iCs/>
      <w:color w:val="4F81BD"/>
    </w:rPr>
  </w:style>
  <w:style w:type="character" w:customStyle="1" w:styleId="39">
    <w:name w:val="文档结构图 Char1"/>
    <w:basedOn w:val="12"/>
    <w:semiHidden/>
    <w:qFormat/>
    <w:uiPriority w:val="99"/>
    <w:rPr>
      <w:rFonts w:ascii="宋体" w:eastAsia="宋体"/>
      <w:sz w:val="18"/>
      <w:szCs w:val="18"/>
    </w:rPr>
  </w:style>
  <w:style w:type="character" w:customStyle="1" w:styleId="40">
    <w:name w:val="脚注文本 Char2"/>
    <w:basedOn w:val="12"/>
    <w:semiHidden/>
    <w:qFormat/>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theme" Target="theme/theme1.xml"/><Relationship Id="rId8" Type="http://schemas.openxmlformats.org/officeDocument/2006/relationships/image" Target="media/image1.jpeg"/><Relationship Id="rId9"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573</Words>
  <Characters>3267</Characters>
  <Lines>27</Lines>
  <Paragraphs>7</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2020-02-27T06:29:00Z</dcterms:created>
  <dc:creator>裴建君2</dc:creator>
  <cp:lastModifiedBy>李袁宁</cp:lastModifiedBy>
  <cp:lastPrinted>2020-05-15T03:40:00Z</cp:lastPrinted>
  <dcterms:modified xsi:type="dcterms:W3CDTF">2021-11-22T09:22:10Z</dcterms:modified>
  <dc:title>编号：57004               _x0001_</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