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仿宋_GB2312" w:cs="Times New Roman"/>
          <w:sz w:val="30"/>
          <w:szCs w:val="30"/>
        </w:rPr>
      </w:pPr>
    </w:p>
    <w:p>
      <w:pPr>
        <w:rPr>
          <w:rFonts w:ascii="Times New Roman" w:hAnsi="Times New Roman" w:eastAsia="仿宋_GB2312" w:cs="Times New Roman"/>
          <w:sz w:val="30"/>
          <w:szCs w:val="30"/>
        </w:rPr>
      </w:pPr>
    </w:p>
    <w:p>
      <w:pPr>
        <w:rPr>
          <w:rFonts w:ascii="Times New Roman" w:hAnsi="Times New Roman" w:eastAsia="黑体" w:cs="Times New Roman"/>
          <w:sz w:val="48"/>
          <w:szCs w:val="48"/>
        </w:rPr>
      </w:pPr>
      <w:r>
        <w:rPr>
          <w:rFonts w:ascii="Times New Roman" w:hAnsi="Times New Roman" w:eastAsia="黑体" w:cs="Times New Roman"/>
          <w:sz w:val="48"/>
          <w:szCs w:val="48"/>
        </w:rPr>
        <w:t>编号：57006</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框 1025"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“境内机构外债、对外或有负债</w:t>
      </w:r>
      <w:r>
        <w:rPr>
          <w:rFonts w:hint="eastAsia" w:ascii="Times New Roman" w:hAnsi="Times New Roman" w:eastAsia="黑体" w:cs="Times New Roman"/>
          <w:sz w:val="52"/>
          <w:szCs w:val="52"/>
        </w:rPr>
        <w:t>、外债转贷款</w:t>
      </w:r>
      <w:r>
        <w:rPr>
          <w:rFonts w:ascii="Times New Roman" w:hAnsi="Times New Roman" w:eastAsia="黑体" w:cs="Times New Roman"/>
          <w:sz w:val="52"/>
          <w:szCs w:val="52"/>
        </w:rPr>
        <w:t xml:space="preserve">审批、登记及履约核准”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pStyle w:val="19"/>
        <w:adjustRightInd w:val="0"/>
        <w:snapToGrid w:val="0"/>
        <w:spacing w:line="360" w:lineRule="auto"/>
        <w:ind w:firstLine="0" w:firstLineChars="0"/>
        <w:outlineLvl w:val="0"/>
        <w:rPr>
          <w:rFonts w:ascii="Times New Roman" w:hAnsi="Times New Roman" w:eastAsia="黑体"/>
          <w:sz w:val="30"/>
          <w:szCs w:val="30"/>
        </w:rPr>
      </w:pPr>
      <w:r>
        <w:rPr>
          <w:rFonts w:ascii="Times New Roman" w:hAnsi="Times New Roman" w:eastAsia="黑体"/>
          <w:sz w:val="30"/>
          <w:szCs w:val="30"/>
        </w:rPr>
        <w:t xml:space="preserve">    一、项目信息</w:t>
      </w:r>
    </w:p>
    <w:p>
      <w:pPr>
        <w:pStyle w:val="19"/>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项目名称：境内机构外债、对外或有负债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审批、登记及履约核准；</w:t>
      </w:r>
    </w:p>
    <w:p>
      <w:pPr>
        <w:pStyle w:val="19"/>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项目编号：57006；</w:t>
      </w:r>
    </w:p>
    <w:p>
      <w:pPr>
        <w:pStyle w:val="19"/>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审批类别：行政许可；</w:t>
      </w:r>
    </w:p>
    <w:p>
      <w:pPr>
        <w:pStyle w:val="19"/>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审查类型：前审后批。</w:t>
      </w:r>
    </w:p>
    <w:p>
      <w:pPr>
        <w:numPr>
          <w:ilvl w:val="0"/>
          <w:numId w:val="1"/>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适用范围</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本指南适用于“境内机构外债、对外或有负债、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w:t>
      </w:r>
      <w:r>
        <w:rPr>
          <w:rFonts w:hint="eastAsia" w:ascii="Times New Roman" w:hAnsi="Times New Roman" w:eastAsia="仿宋_GB2312"/>
          <w:sz w:val="30"/>
          <w:szCs w:val="30"/>
        </w:rPr>
        <w:t>、</w:t>
      </w:r>
      <w:r>
        <w:rPr>
          <w:rFonts w:ascii="Times New Roman" w:hAnsi="Times New Roman" w:eastAsia="仿宋_GB2312" w:cs="Times New Roman"/>
          <w:sz w:val="30"/>
          <w:szCs w:val="30"/>
        </w:rPr>
        <w:t>登记及履约核准”的申请和办理。</w:t>
      </w:r>
    </w:p>
    <w:p>
      <w:pPr>
        <w:numPr>
          <w:ilvl w:val="0"/>
          <w:numId w:val="2"/>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（一）《中华人民共和国外汇管理条例》（国务院令第532号）第十八条：“国家对外债实行规模管理。借用外债应当按照国家有关规定办理，并到外汇管理机关办理外债登记”；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（三）《国务院对确需保留的行政审批项目设定行政许可的决定》（国务院令第412号）附件第471项“境内机构外债、外债转贷款、对外担保履约核准”；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（四）《国务院对确需保留的行政审批项目设定行政许可的决定》（国务院令第412号）附件第485项“境内外资金融机构短期外债核准”；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（五）《外债管理暂行办法》（国家发展计划委员会、财政部、国家外汇管理局令第28号）第十六条：“国家对境内中资机构举借短期国际商业贷款实行余额管理，余额由国家外汇管理局核定”。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四、境内机构短期外债余额指标核准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2.《境内机构借用国际商业贷款管理办法》（〔97〕汇政发字06号）。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3.《境内外资银行外债管理办法》（国家发展和改革委员会 中国人民银行 中国银行业监督管理委员会令2004年第9号）。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4.《国家外汇管理局关于发布〈外债登记管理办法〉的通知》（汇发〔2013〕19号）。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5.《中国人民银行关于全口径跨境融资宏观审慎管理有关事宜的通知》（银发〔2017〕9号）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6</w:t>
      </w:r>
      <w:r>
        <w:rPr>
          <w:rFonts w:ascii="Times New Roman" w:hAnsi="Times New Roman" w:eastAsia="仿宋_GB2312" w:cs="Times New Roman"/>
          <w:sz w:val="30"/>
          <w:szCs w:val="30"/>
        </w:rPr>
        <w:t>.其他相关法规。</w:t>
      </w:r>
    </w:p>
    <w:p>
      <w:pPr>
        <w:numPr>
          <w:ilvl w:val="0"/>
          <w:numId w:val="3"/>
        </w:num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申请人所在地国家外汇管理局分局（外汇管理部）。</w:t>
      </w:r>
    </w:p>
    <w:p>
      <w:pPr>
        <w:numPr>
          <w:ilvl w:val="0"/>
          <w:numId w:val="4"/>
        </w:num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决定机构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 xml:space="preserve">国家外汇管理局或申请人所在地国家外汇管理局分局（外汇管理部）。 </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numPr>
          <w:ilvl w:val="0"/>
          <w:numId w:val="5"/>
        </w:num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办事条件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1.金融机构需同时符合以下条件：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（1）短期外债使用无不良记录。</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（2）外汇局根据中、外资银行对外汇资金的实际合理需求，根据公平原则，参考上年度指标使用情况、同规模银行一般水平和当年度短期外债余额调控目标等因素为银行核定短期外债指标。</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2.非金融企业需同时符合以下条件：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（1）属于国家鼓励行业，具有对外贸易经营权。</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（2）过去三年内连续盈利，或经营趋势良好。</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（3）具有完善的财务管理制度和内控制度。</w:t>
      </w:r>
    </w:p>
    <w:p>
      <w:pPr>
        <w:adjustRightInd w:val="0"/>
        <w:snapToGrid w:val="0"/>
        <w:spacing w:line="360" w:lineRule="auto"/>
        <w:ind w:firstLine="600"/>
        <w:rPr>
          <w:rFonts w:ascii="Times New Roman" w:hAnsi="Times New Roman" w:eastAsia="仿宋_GB2312" w:cs="Times New Roman"/>
          <w:b/>
          <w:sz w:val="30"/>
          <w:szCs w:val="30"/>
        </w:rPr>
      </w:pPr>
      <w:r>
        <w:rPr>
          <w:rFonts w:ascii="Times New Roman" w:hAnsi="Times New Roman" w:eastAsia="仿宋_GB2312" w:cs="Times New Roman"/>
          <w:sz w:val="30"/>
          <w:szCs w:val="30"/>
        </w:rPr>
        <w:t>3.禁止性要求：如符合上述条件，不存在不予许可的情况。</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1.金融机构短期外债余额指标申请材料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4254"/>
        <w:gridCol w:w="992"/>
        <w:gridCol w:w="567"/>
        <w:gridCol w:w="851"/>
        <w:gridCol w:w="567"/>
        <w:gridCol w:w="759"/>
      </w:tblGrid>
      <w:tr>
        <w:tc>
          <w:tcPr>
            <w:tcW w:w="53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rPr>
          <w:trHeight w:val="378" w:hRule="atLeast"/>
        </w:trPr>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上年度资产负债表和损益表</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流动性需要或资金用途有关的证明材料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境外总行或地区管理部门批准的对中国境内债务人的年度授信限额文件（外资金融机构的境内非法人分支机构提供）</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境外总行授权文件（“短期外债管理行”提供）</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numPr>
          <w:ilvl w:val="0"/>
          <w:numId w:val="6"/>
        </w:numPr>
        <w:ind w:right="300"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非金融企业短期外债余额指标申请材料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474"/>
        <w:gridCol w:w="952"/>
        <w:gridCol w:w="457"/>
        <w:gridCol w:w="845"/>
        <w:gridCol w:w="490"/>
        <w:gridCol w:w="771"/>
      </w:tblGrid>
      <w:tr>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47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4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9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7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47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0"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71" w:type="dxa"/>
            <w:vAlign w:val="center"/>
          </w:tcPr>
          <w:p>
            <w:pPr>
              <w:jc w:val="left"/>
              <w:rPr>
                <w:rFonts w:ascii="Times New Roman" w:hAnsi="Times New Roman" w:eastAsia="仿宋_GB2312" w:cs="Times New Roman"/>
                <w:sz w:val="24"/>
                <w:szCs w:val="24"/>
              </w:rPr>
            </w:pPr>
          </w:p>
        </w:tc>
      </w:tr>
      <w:tr>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47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上年度资产负债表和损益表</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0" w:type="dxa"/>
            <w:vAlign w:val="center"/>
          </w:tcPr>
          <w:p>
            <w:pPr>
              <w:jc w:val="left"/>
              <w:rPr>
                <w:rFonts w:ascii="Times New Roman" w:hAnsi="Times New Roman" w:eastAsia="仿宋_GB2312" w:cs="Times New Roman"/>
                <w:sz w:val="24"/>
                <w:szCs w:val="24"/>
              </w:rPr>
            </w:pPr>
          </w:p>
        </w:tc>
        <w:tc>
          <w:tcPr>
            <w:tcW w:w="77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47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上年度外汇收支情况。</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0" w:type="dxa"/>
            <w:vAlign w:val="center"/>
          </w:tcPr>
          <w:p>
            <w:pPr>
              <w:jc w:val="left"/>
              <w:rPr>
                <w:rFonts w:ascii="Times New Roman" w:hAnsi="Times New Roman" w:eastAsia="仿宋_GB2312" w:cs="Times New Roman"/>
                <w:sz w:val="24"/>
                <w:szCs w:val="24"/>
              </w:rPr>
            </w:pPr>
          </w:p>
        </w:tc>
        <w:tc>
          <w:tcPr>
            <w:tcW w:w="77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47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信贷机构出具的承诺贷款的意向书</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0" w:type="dxa"/>
            <w:vAlign w:val="center"/>
          </w:tcPr>
          <w:p>
            <w:pPr>
              <w:jc w:val="left"/>
              <w:rPr>
                <w:rFonts w:ascii="Times New Roman" w:hAnsi="Times New Roman" w:eastAsia="仿宋_GB2312" w:cs="Times New Roman"/>
                <w:sz w:val="24"/>
                <w:szCs w:val="24"/>
              </w:rPr>
            </w:pPr>
          </w:p>
        </w:tc>
        <w:tc>
          <w:tcPr>
            <w:tcW w:w="77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spacing w:line="360" w:lineRule="auto"/>
        <w:ind w:firstLine="600" w:firstLineChars="200"/>
        <w:outlineLvl w:val="0"/>
        <w:rPr>
          <w:rFonts w:ascii="Times New Roman" w:hAnsi="Times New Roman" w:eastAsia="黑体" w:cs="Times New Roman"/>
          <w:sz w:val="30"/>
          <w:szCs w:val="30"/>
        </w:rPr>
      </w:pPr>
    </w:p>
    <w:p>
      <w:pPr>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申请人可通过所在地外汇局分局（外汇管理部）业务窗口提交材料。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（十一）审批收费依据及标准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（十二）审批结果</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540" w:lineRule="exact"/>
        <w:ind w:firstLine="600"/>
        <w:outlineLvl w:val="0"/>
        <w:rPr>
          <w:rFonts w:hint="eastAsia" w:ascii="Times New Roman" w:hAnsi="Times New Roman" w:eastAsia="黑体" w:cs="Times New Roman"/>
          <w:sz w:val="30"/>
          <w:szCs w:val="30"/>
        </w:rPr>
      </w:pPr>
      <w:r>
        <w:rPr>
          <w:rFonts w:hint="eastAsia" w:ascii="Times New Roman" w:hAnsi="Times New Roman" w:eastAsia="黑体" w:cs="Times New Roman"/>
          <w:sz w:val="30"/>
          <w:szCs w:val="30"/>
          <w:lang w:eastAsia="zh-CN"/>
        </w:rPr>
        <w:t>（十五）</w:t>
      </w:r>
      <w:r>
        <w:rPr>
          <w:rFonts w:hint="eastAsia" w:ascii="Times New Roman" w:hAnsi="Times New Roman" w:eastAsia="黑体" w:cs="Times New Roman"/>
          <w:sz w:val="30"/>
          <w:szCs w:val="30"/>
        </w:rPr>
        <w:t>办公地址、时间及联系方式</w:t>
      </w:r>
    </w:p>
    <w:p>
      <w:pPr>
        <w:adjustRightInd w:val="0"/>
        <w:snapToGrid w:val="0"/>
        <w:spacing w:line="540" w:lineRule="exact"/>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办公地址：云南省</w:t>
      </w:r>
      <w:bookmarkStart w:id="0" w:name="_GoBack"/>
      <w:bookmarkEnd w:id="0"/>
      <w:r>
        <w:rPr>
          <w:rFonts w:hint="eastAsia" w:ascii="Times New Roman" w:hAnsi="Times New Roman" w:eastAsia="仿宋_GB2312" w:cs="Times New Roman"/>
          <w:sz w:val="30"/>
          <w:szCs w:val="30"/>
          <w:lang w:val="en-US" w:eastAsia="zh-CN"/>
        </w:rPr>
        <w:t>昆明市五华区正义路69号国家外汇管理局云南省分局1402室</w:t>
      </w:r>
    </w:p>
    <w:p>
      <w:pPr>
        <w:adjustRightInd w:val="0"/>
        <w:snapToGrid w:val="0"/>
        <w:spacing w:line="540" w:lineRule="exact"/>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办公时间：上午8：30—12：00   下午13:30—17:00</w:t>
      </w:r>
    </w:p>
    <w:p>
      <w:pPr>
        <w:adjustRightInd w:val="0"/>
        <w:snapToGrid w:val="0"/>
        <w:spacing w:line="540" w:lineRule="exact"/>
        <w:ind w:firstLine="600"/>
        <w:rPr>
          <w:rFonts w:hint="eastAsia" w:ascii="Times New Roman" w:hAnsi="Times New Roman" w:eastAsia="黑体" w:cs="Times New Roman"/>
          <w:sz w:val="30"/>
          <w:szCs w:val="30"/>
        </w:rPr>
      </w:pPr>
      <w:r>
        <w:rPr>
          <w:rFonts w:hint="eastAsia" w:ascii="Times New Roman" w:hAnsi="Times New Roman" w:eastAsia="仿宋_GB2312" w:cs="Times New Roman"/>
          <w:sz w:val="30"/>
          <w:szCs w:val="30"/>
          <w:lang w:val="en-US" w:eastAsia="zh-CN"/>
        </w:rPr>
        <w:t>联系电话：0871-63212721（资本项目管理处）</w:t>
      </w:r>
    </w:p>
    <w:p>
      <w:pPr>
        <w:adjustRightInd w:val="0"/>
        <w:snapToGrid w:val="0"/>
        <w:spacing w:line="540" w:lineRule="exact"/>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（十六）</w:t>
      </w:r>
      <w:r>
        <w:rPr>
          <w:rFonts w:ascii="Times New Roman" w:hAnsi="Times New Roman" w:eastAsia="黑体" w:cs="Times New Roman"/>
          <w:sz w:val="30"/>
          <w:szCs w:val="30"/>
        </w:rPr>
        <w:t>咨询途径、监督和投诉、公开查询方式等由所在地分局（外汇管理部）另行公布</w:t>
      </w:r>
    </w:p>
    <w:p>
      <w:pPr>
        <w:adjustRightInd w:val="0"/>
        <w:snapToGrid w:val="0"/>
        <w:spacing w:line="540" w:lineRule="exact"/>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向各地外汇局进行咨询、办理进程查询、监督和投诉等可通过各地外汇局官方互联网站的相应栏目进行。网址可通过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p>
    <w:p>
      <w:pPr>
        <w:adjustRightInd w:val="0"/>
        <w:snapToGrid w:val="0"/>
        <w:spacing w:line="540" w:lineRule="exact"/>
        <w:ind w:firstLine="600"/>
        <w:rPr>
          <w:rFonts w:ascii="Times New Roman" w:hAnsi="Times New Roman" w:eastAsia="仿宋_GB2312" w:cs="Times New Roman"/>
          <w:sz w:val="30"/>
          <w:szCs w:val="30"/>
        </w:rPr>
      </w:pPr>
    </w:p>
    <w:p>
      <w:pPr>
        <w:adjustRightInd w:val="0"/>
        <w:snapToGrid w:val="0"/>
        <w:spacing w:line="540" w:lineRule="exact"/>
        <w:ind w:firstLine="600"/>
        <w:rPr>
          <w:rFonts w:ascii="Times New Roman" w:hAnsi="Times New Roman" w:eastAsia="仿宋_GB2312" w:cs="Times New Roman"/>
          <w:sz w:val="30"/>
          <w:szCs w:val="30"/>
        </w:rPr>
      </w:pPr>
    </w:p>
    <w:p>
      <w:pPr>
        <w:adjustRightInd w:val="0"/>
        <w:snapToGrid w:val="0"/>
        <w:spacing w:line="540" w:lineRule="exact"/>
        <w:ind w:firstLine="600"/>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left="567" w:right="300" w:hanging="567" w:hangingChars="189"/>
        <w:jc w:val="center"/>
        <w:rPr>
          <w:rFonts w:hint="eastAsia" w:ascii="Times New Roman" w:hAnsi="Times New Roman" w:eastAsia="黑体" w:cs="Times New Roman"/>
          <w:sz w:val="30"/>
          <w:szCs w:val="30"/>
        </w:rPr>
      </w:pPr>
      <w:r>
        <w:rPr>
          <w:rFonts w:ascii="Times New Roman" w:hAnsi="Times New Roman" w:eastAsia="黑体" w:cs="Times New Roman"/>
          <w:sz w:val="30"/>
          <w:szCs w:val="30"/>
        </w:rPr>
        <w:t>基本流程图</w:t>
      </w:r>
    </w:p>
    <w:p>
      <w:pPr>
        <w:ind w:left="567" w:right="300" w:hanging="567" w:hangingChars="189"/>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1026" o:spid="_x0000_s1027" style="position:absolute;left:0;margin-left:-37.1pt;margin-top:5.6pt;height:665.15pt;width:491.25pt;rotation:0f;z-index:251658240;" coordorigin="1599,1560" coordsize="9010,13628">
            <o:lock v:ext="edit" position="f" selection="f" grouping="f" rotation="f" cropping="f" text="f" aspectratio="f"/>
            <v:shape id="AutoShape 3" o:spid="_x0000_s1028" type="#_x0000_t32" style="position:absolute;left:6566;top:10994;height:626;width:1;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组合 1028" o:spid="_x0000_s1029" style="position:absolute;left:1599;top:1560;height:13628;width:9010;rotation:0f;" coordorigin="1599,1560" coordsize="9010,13628">
              <o:lock v:ext="edit" position="f" selection="f" grouping="f" rotation="f" cropping="f" text="f" aspectratio="f"/>
              <v:shape id="AutoShape 5" o:spid="_x0000_s1030" type="#_x0000_t32" style="position:absolute;left:6565;top:11899;height:715;width:1;rotation:0f;"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组合 1030" o:spid="_x0000_s1031" style="position:absolute;left:1599;top:1560;height:13628;width:9010;rotation:0f;" coordorigin="1599,1560" coordsize="9010,13628">
                <o:lock v:ext="edit" position="f" selection="f" grouping="f" rotation="f" cropping="f" text="f" aspectratio="f"/>
                <v:rect id="Rectangle 7" o:spid="_x0000_s1032" style="position:absolute;left:5057;top:11620;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国家外汇管理局审核</w:t>
                        </w:r>
                      </w:p>
                    </w:txbxContent>
                  </v:textbox>
                </v:rect>
                <v:shape id="AutoShape 8" o:spid="_x0000_s1033" type="#_x0000_t32" style="position:absolute;left:3999;top:12614;height:567;width:0;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9" o:spid="_x0000_s1034" type="#_x0000_t32" style="position:absolute;left:9017;top:12614;height:607;width:1;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035" type="#_x0000_t32" style="position:absolute;left:4013;top:12614;height:0;width:4987;rotation:0f;"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 o:spid="_x0000_s1036" type="#_x0000_t116" style="position:absolute;left:7492;top:13201;height:1329;width:311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p>
                        <w:pPr>
                          <w:jc w:val="center"/>
                        </w:pPr>
                      </w:p>
                    </w:txbxContent>
                  </v:textbox>
                </v:shape>
                <v:shape id="AutoShape 12" o:spid="_x0000_s1037" type="#_x0000_t116" style="position:absolute;left:2034;top:14510;height:678;width:479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初审外汇局出具批复文件，并送达</w:t>
                        </w:r>
                      </w:p>
                    </w:txbxContent>
                  </v:textbox>
                </v:shape>
                <v:rect id="Rectangle 13" o:spid="_x0000_s1038" style="position:absolute;left:2294;top:13181;height:859;width:3461;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w:t>
                        </w:r>
                      </w:p>
                      <w:p>
                        <w:pPr>
                          <w:jc w:val="center"/>
                        </w:pPr>
                        <w:r>
                          <w:rPr>
                            <w:rFonts w:hint="eastAsia"/>
                          </w:rPr>
                          <w:t>为初审外汇局出具批复文件</w:t>
                        </w:r>
                      </w:p>
                    </w:txbxContent>
                  </v:textbox>
                </v:rect>
                <v:shape id="AutoShape 14" o:spid="_x0000_s1039" type="#_x0000_t32" style="position:absolute;left:4013;top:14040;height:470;width:0;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组合 1039" o:spid="_x0000_s1040" style="position:absolute;left:1599;top:1560;height:11621;width:8921;rotation:0f;" coordorigin="1635,1526" coordsize="8921,11621">
                  <o:lock v:ext="edit" position="f" selection="f" grouping="f" rotation="f" cropping="f" text="f" aspectratio="f"/>
                  <v:shape id="AutoShape 16" o:spid="_x0000_s1041" type="#_x0000_t32" style="position:absolute;left:6600;top:8677;height:764;width:1;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7" o:spid="_x0000_s1042" type="#_x0000_t116" style="position:absolute;left:1920;top:1526;height:703;width:373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id="组合 1042" o:spid="_x0000_s1043" style="position:absolute;left:1635;top:2321;height:6356;width:8921;rotation:0f;" coordorigin="1635,2361" coordsize="8921,6356">
                    <o:lock v:ext="edit" position="f" selection="f" grouping="f" rotation="f" cropping="f" text="f" aspectratio="f"/>
                    <v:shape id="AutoShape 19" o:spid="_x0000_s1044" type="#_x0000_t34" style="position:absolute;left:8018;top:4171;height:1285;width:3790;rotation:17694720f;" o:ole="f" fillcolor="#FFFFFF" filled="f" o:preferrelative="t" stroked="t" coordorigin="0,0" coordsize="21600,21600" adj="45">
                      <v:fill on="f" color2="#FFFFFF" focus="0%"/>
                      <v:stroke color="#000000" color2="#FFFFFF" miterlimit="2"/>
                      <v:imagedata gain="65536f" blacklevel="0f" gamma="0"/>
                      <o:lock v:ext="edit" position="f" selection="f" grouping="f" rotation="f" cropping="f" text="f" aspectratio="f"/>
                    </v:shape>
                    <v:group id="组合 1044" o:spid="_x0000_s1045" style="position:absolute;left:1635;top:2361;height:6356;width:8921;rotation:0f;" coordorigin="1656,3881" coordsize="8921,6356">
                      <o:lock v:ext="edit" position="f" selection="f" grouping="f" rotation="f" cropping="f" text="f" aspectratio="f"/>
                      <v:shape id="AutoShape 21" o:spid="_x0000_s1046" type="#_x0000_t32" style="position:absolute;left:7549;top:7016;height:378;width:0;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2" o:spid="_x0000_s1047" type="#_x0000_t4" style="position:absolute;left:5812;top:7377;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shape id="AutoShape 23" o:spid="_x0000_s1048" type="#_x0000_t32" style="position:absolute;left:3011;top:9967;height:1;width:1213;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4" o:spid="_x0000_s1049" type="#_x0000_t32" style="position:absolute;left:3011;top:6530;height:3437;width:1;rotation:0f;"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Text Box 25" o:spid="_x0000_s1050" type="#_x0000_t202" style="position:absolute;left:2253;top:7824;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AutoShape 26" o:spid="_x0000_s1051" type="#_x0000_t32" style="position:absolute;left:7549;top:9110;height:608;width:0;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7" o:spid="_x0000_s1052" type="#_x0000_t202" style="position:absolute;left:4429;top:9110;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rect id="Rectangle 28" o:spid="_x0000_s1053" style="position:absolute;left:4224;top:9718;height:519;width:535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txbxContent>
                        </v:textbox>
                      </v:rect>
                      <v:shape id="AutoShape 29" o:spid="_x0000_s1054" type="#_x0000_t32" style="position:absolute;left:4429;top:5511;height:0;width:1229;rotation:0f;"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0" o:spid="_x0000_s1055" type="#_x0000_t32" style="position:absolute;left:5658;top:4533;height:1921;width:0;rotation:0f;"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6" type="#_x0000_t4" style="position:absolute;left:1656;top:4480;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接件（5个工作日）作出是否受理决定</w:t>
                              </w:r>
                            </w:p>
                          </w:txbxContent>
                        </v:textbox>
                      </v:shape>
                      <v:shape id="AutoShape 32" o:spid="_x0000_s1057" type="#_x0000_t32" style="position:absolute;left:5686;top:6453;height:1;width:564;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3" o:spid="_x0000_s1058" type="#_x0000_t32" style="position:absolute;left:5658;top:4533;height:0;width:564;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rect id="Rectangle 34" o:spid="_x0000_s1059" style="position:absolute;left:6222;top:5885;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left="850" w:hanging="850" w:hangingChars="405"/>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35" o:spid="_x0000_s1060" type="#_x0000_t116" style="position:absolute;left:6222;top:3881;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shape id="Text Box 36" o:spid="_x0000_s1061" type="#_x0000_t202" style="position:absolute;left:4834;top:4762;height:48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shape id="Text Box 37" o:spid="_x0000_s1062" type="#_x0000_t202" style="position:absolute;left:9583;top:4841;height:2553;width:823;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38" o:spid="_x0000_s1063" type="#_x0000_t32" style="position:absolute;left:9040;top:4464;flip:x;height:0;width:1537;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shape id="AutoShape 39" o:spid="_x0000_s1064" type="#_x0000_t32" style="position:absolute;left:3011;top:2229;flip:x;height:695;width:1;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40" o:spid="_x0000_s1065" type="#_x0000_t4" style="position:absolute;left:3562;top:9140;height:1920;width:612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申请人所在地外汇局分局（外汇管理部）根据申请材料，</w:t>
                          </w:r>
                        </w:p>
                        <w:p>
                          <w:pPr>
                            <w:jc w:val="center"/>
                          </w:pPr>
                          <w:r>
                            <w:rPr>
                              <w:rFonts w:hint="eastAsia"/>
                            </w:rPr>
                            <w:t>作出初审意见</w:t>
                          </w:r>
                        </w:p>
                      </w:txbxContent>
                    </v:textbox>
                  </v:shape>
                  <v:shape id="Text Box 41" o:spid="_x0000_s1066" type="#_x0000_t202" style="position:absolute;left:5093;top:10960;height:472;width:812;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同意</w:t>
                          </w:r>
                        </w:p>
                      </w:txbxContent>
                    </v:textbox>
                  </v:shape>
                  <v:shape id="Text Box 42" o:spid="_x0000_s1067" type="#_x0000_t202" style="position:absolute;left:8520;top:10848;height:584;width:1042;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不同意</w:t>
                          </w:r>
                        </w:p>
                      </w:txbxContent>
                    </v:textbox>
                  </v:shape>
                  <v:shape id="AutoShape 43" o:spid="_x0000_s1068" type="#_x0000_t32" style="position:absolute;left:9682;top:10120;height:3027;width:0;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v:group>
        </w:pict>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附录二          </w:t>
      </w:r>
    </w:p>
    <w:p>
      <w:pPr>
        <w:widowControl/>
        <w:jc w:val="left"/>
        <w:rPr>
          <w:rFonts w:ascii="Times New Roman" w:hAnsi="Times New Roman" w:eastAsia="仿宋_GB2312" w:cs="Times New Roman"/>
          <w:kern w:val="0"/>
          <w:sz w:val="30"/>
          <w:szCs w:val="30"/>
        </w:rPr>
      </w:pPr>
    </w:p>
    <w:p>
      <w:pPr>
        <w:jc w:val="center"/>
        <w:rPr>
          <w:rFonts w:ascii="Times New Roman" w:hAnsi="黑体" w:eastAsia="黑体" w:cs="Times New Roman"/>
          <w:kern w:val="0"/>
          <w:sz w:val="30"/>
          <w:szCs w:val="30"/>
        </w:rPr>
      </w:pPr>
      <w:r>
        <w:rPr>
          <w:rFonts w:ascii="Times New Roman" w:hAnsi="黑体" w:eastAsia="黑体" w:cs="Times New Roman"/>
          <w:kern w:val="0"/>
          <w:sz w:val="30"/>
          <w:szCs w:val="30"/>
        </w:rPr>
        <w:t>常见问题</w:t>
      </w:r>
    </w:p>
    <w:p>
      <w:pPr>
        <w:jc w:val="center"/>
        <w:rPr>
          <w:rFonts w:ascii="Times New Roman" w:hAnsi="Times New Roman" w:eastAsia="黑体" w:cs="Times New Roman"/>
          <w:kern w:val="0"/>
          <w:sz w:val="30"/>
          <w:szCs w:val="30"/>
        </w:rPr>
      </w:pPr>
    </w:p>
    <w:p>
      <w:pPr>
        <w:rPr>
          <w:rFonts w:ascii="Times New Roman" w:hAnsi="Times New Roman" w:eastAsia="仿宋_GB2312" w:cs="Times New Roman"/>
          <w:bCs/>
          <w:kern w:val="0"/>
          <w:sz w:val="30"/>
          <w:szCs w:val="30"/>
        </w:rPr>
      </w:pPr>
      <w:r>
        <w:rPr>
          <w:rFonts w:ascii="Times New Roman" w:hAnsi="Times New Roman" w:eastAsia="仿宋_GB2312" w:cs="Times New Roman"/>
          <w:bCs/>
          <w:kern w:val="0"/>
          <w:sz w:val="30"/>
          <w:szCs w:val="30"/>
        </w:rPr>
        <w:t xml:space="preserve">    问：外资金融机构能否申请短期外债余额指标？</w:t>
      </w:r>
    </w:p>
    <w:p>
      <w:pPr>
        <w:rPr>
          <w:rFonts w:ascii="Times New Roman" w:hAnsi="Times New Roman" w:cs="Times New Roman"/>
        </w:rPr>
      </w:pPr>
      <w:r>
        <w:rPr>
          <w:rFonts w:ascii="Times New Roman" w:hAnsi="Times New Roman" w:eastAsia="仿宋_GB2312" w:cs="Times New Roman"/>
          <w:bCs/>
          <w:kern w:val="0"/>
          <w:sz w:val="30"/>
          <w:szCs w:val="30"/>
        </w:rPr>
        <w:t xml:space="preserve">    答：2018年1月12日以前，外资金融机构可在短期外债余额指标管理模式和宏观审慎管理模式下任选一种模式适用。2018年1月12日以后，外资金融机构自动适用宏观审慎管理模式。</w:t>
      </w:r>
    </w:p>
    <w:sectPr>
      <w:headerReference r:id="rId4" w:type="default"/>
      <w:footerReference r:id="rId5"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Cambria">
    <w:panose1 w:val="02040503050406030204"/>
    <w:charset w:val="00"/>
    <w:family w:val="auto"/>
    <w:pitch w:val="default"/>
    <w:sig w:usb0="A00002EF" w:usb1="4000004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altName w:val="仿宋_GB2312"/>
    <w:panose1 w:val="02010609060101010101"/>
    <w:charset w:val="86"/>
    <w:family w:val="auto"/>
    <w:pitch w:val="default"/>
    <w:sig w:usb0="800002BF" w:usb1="38CF7CFA" w:usb2="00000016" w:usb3="00000000" w:csb0="00040001" w:csb1="00000000"/>
  </w:font>
  <w:font w:name="华文楷体">
    <w:altName w:val="楷体_GB2312"/>
    <w:panose1 w:val="02010600040101010101"/>
    <w:charset w:val="86"/>
    <w:family w:val="auto"/>
    <w:pitch w:val="default"/>
    <w:sig w:usb0="00000287" w:usb1="080F0000" w:usb2="00000000" w:usb3="00000000" w:csb0="0004009F" w:csb1="DFD70000"/>
  </w:font>
  <w:font w:name="华文仿宋">
    <w:altName w:val="仿宋_GB2312"/>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8</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63245">
    <w:nsid w:val="5A10FECD"/>
    <w:multiLevelType w:val="singleLevel"/>
    <w:tmpl w:val="5A10FECD"/>
    <w:lvl w:ilvl="0" w:tentative="1">
      <w:start w:val="2"/>
      <w:numFmt w:val="decimal"/>
      <w:suff w:val="nothing"/>
      <w:lvlText w:val="%1."/>
      <w:lvlJc w:val="left"/>
    </w:lvl>
  </w:abstractNum>
  <w:abstractNum w:abstractNumId="1511059921">
    <w:nsid w:val="5A10F1D1"/>
    <w:multiLevelType w:val="singleLevel"/>
    <w:tmpl w:val="5A10F1D1"/>
    <w:lvl w:ilvl="0" w:tentative="1">
      <w:start w:val="2"/>
      <w:numFmt w:val="chineseCounting"/>
      <w:suff w:val="nothing"/>
      <w:lvlText w:val="%1、"/>
      <w:lvlJc w:val="left"/>
    </w:lvl>
  </w:abstractNum>
  <w:abstractNum w:abstractNumId="1511062315">
    <w:nsid w:val="5A10FB2B"/>
    <w:multiLevelType w:val="singleLevel"/>
    <w:tmpl w:val="5A10FB2B"/>
    <w:lvl w:ilvl="0" w:tentative="1">
      <w:start w:val="5"/>
      <w:numFmt w:val="chineseCounting"/>
      <w:suff w:val="nothing"/>
      <w:lvlText w:val="（%1）"/>
      <w:lvlJc w:val="left"/>
    </w:lvl>
  </w:abstractNum>
  <w:abstractNum w:abstractNumId="1511059970">
    <w:nsid w:val="5A10F202"/>
    <w:multiLevelType w:val="singleLevel"/>
    <w:tmpl w:val="5A10F202"/>
    <w:lvl w:ilvl="0" w:tentative="1">
      <w:start w:val="3"/>
      <w:numFmt w:val="chineseCounting"/>
      <w:suff w:val="nothing"/>
      <w:lvlText w:val="（%1）"/>
      <w:lvlJc w:val="left"/>
    </w:lvl>
  </w:abstractNum>
  <w:abstractNum w:abstractNumId="1511059956">
    <w:nsid w:val="5A10F1F4"/>
    <w:multiLevelType w:val="singleLevel"/>
    <w:tmpl w:val="5A10F1F4"/>
    <w:lvl w:ilvl="0" w:tentative="1">
      <w:start w:val="2"/>
      <w:numFmt w:val="chineseCounting"/>
      <w:suff w:val="nothing"/>
      <w:lvlText w:val="（%1）"/>
      <w:lvlJc w:val="left"/>
    </w:lvl>
  </w:abstractNum>
  <w:abstractNum w:abstractNumId="1511059936">
    <w:nsid w:val="5A10F1E0"/>
    <w:multiLevelType w:val="singleLevel"/>
    <w:tmpl w:val="5A10F1E0"/>
    <w:lvl w:ilvl="0" w:tentative="1">
      <w:start w:val="3"/>
      <w:numFmt w:val="chineseCounting"/>
      <w:suff w:val="nothing"/>
      <w:lvlText w:val="%1、"/>
      <w:lvlJc w:val="left"/>
    </w:lvl>
  </w:abstractNum>
  <w:num w:numId="1">
    <w:abstractNumId w:val="1511059921"/>
  </w:num>
  <w:num w:numId="2">
    <w:abstractNumId w:val="1511059936"/>
  </w:num>
  <w:num w:numId="3">
    <w:abstractNumId w:val="1511059956"/>
  </w:num>
  <w:num w:numId="4">
    <w:abstractNumId w:val="1511059970"/>
  </w:num>
  <w:num w:numId="5">
    <w:abstractNumId w:val="1511062315"/>
  </w:num>
  <w:num w:numId="6">
    <w:abstractNumId w:val="15110632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3"/>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4"/>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5"/>
    <w:qFormat/>
    <w:uiPriority w:val="9"/>
    <w:pPr>
      <w:ind w:right="300"/>
      <w:outlineLvl w:val="2"/>
    </w:pPr>
    <w:rPr>
      <w:rFonts w:ascii="仿宋_GB2312" w:hAnsi="Calibri" w:eastAsia="仿宋_GB2312" w:cs="Times New Roman"/>
      <w:sz w:val="30"/>
      <w:szCs w:val="30"/>
    </w:rPr>
  </w:style>
  <w:style w:type="character" w:default="1" w:styleId="13">
    <w:name w:val="Default Paragraph Font"/>
    <w:semiHidden/>
    <w:unhideWhenUsed/>
    <w:uiPriority w:val="1"/>
  </w:style>
  <w:style w:type="paragraph" w:styleId="5">
    <w:name w:val="Document Map"/>
    <w:basedOn w:val="1"/>
    <w:link w:val="34"/>
    <w:unhideWhenUsed/>
    <w:qFormat/>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8"/>
    <w:unhideWhenUsed/>
    <w:uiPriority w:val="0"/>
    <w:rPr>
      <w:sz w:val="18"/>
      <w:szCs w:val="18"/>
    </w:rPr>
  </w:style>
  <w:style w:type="paragraph" w:styleId="8">
    <w:name w:val="footer"/>
    <w:basedOn w:val="1"/>
    <w:link w:val="27"/>
    <w:unhideWhenUsed/>
    <w:uiPriority w:val="99"/>
    <w:pPr>
      <w:tabs>
        <w:tab w:val="center" w:pos="4153"/>
        <w:tab w:val="right" w:pos="8306"/>
      </w:tabs>
      <w:snapToGrid w:val="0"/>
      <w:jc w:val="left"/>
    </w:pPr>
    <w:rPr>
      <w:sz w:val="18"/>
      <w:szCs w:val="18"/>
    </w:rPr>
  </w:style>
  <w:style w:type="paragraph" w:styleId="9">
    <w:name w:val="header"/>
    <w:basedOn w:val="1"/>
    <w:link w:val="26"/>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2"/>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footnote reference"/>
    <w:unhideWhenUsed/>
    <w:qFormat/>
    <w:uiPriority w:val="0"/>
    <w:rPr>
      <w:rFonts w:ascii="Times New Roman" w:hAnsi="Times New Roman" w:cs="Times New Roman"/>
      <w:vertAlign w:val="superscript"/>
    </w:rPr>
  </w:style>
  <w:style w:type="paragraph" w:customStyle="1" w:styleId="16">
    <w:name w:val="List Paragraph"/>
    <w:basedOn w:val="1"/>
    <w:qFormat/>
    <w:uiPriority w:val="99"/>
    <w:pPr>
      <w:ind w:firstLine="420" w:firstLineChars="200"/>
    </w:pPr>
  </w:style>
  <w:style w:type="paragraph" w:customStyle="1" w:styleId="17">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8">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9">
    <w:name w:val="列出段落1"/>
    <w:basedOn w:val="1"/>
    <w:qFormat/>
    <w:uiPriority w:val="34"/>
    <w:pPr>
      <w:ind w:firstLine="420" w:firstLineChars="200"/>
    </w:pPr>
    <w:rPr>
      <w:rFonts w:ascii="Calibri" w:hAnsi="Calibri" w:eastAsia="宋体" w:cs="Times New Roman"/>
    </w:rPr>
  </w:style>
  <w:style w:type="paragraph" w:customStyle="1" w:styleId="20">
    <w:name w:val="列出段落4"/>
    <w:basedOn w:val="1"/>
    <w:qFormat/>
    <w:uiPriority w:val="0"/>
    <w:pPr>
      <w:ind w:firstLine="200" w:firstLineChars="200"/>
    </w:pPr>
    <w:rPr>
      <w:rFonts w:ascii="Calibri" w:hAnsi="Calibri" w:eastAsia="宋体" w:cs="Times New Roman"/>
    </w:rPr>
  </w:style>
  <w:style w:type="paragraph" w:customStyle="1" w:styleId="21">
    <w:name w:val="列出段落3"/>
    <w:basedOn w:val="1"/>
    <w:qFormat/>
    <w:uiPriority w:val="0"/>
    <w:pPr>
      <w:ind w:firstLine="420" w:firstLineChars="200"/>
    </w:pPr>
    <w:rPr>
      <w:rFonts w:ascii="Times New Roman" w:hAnsi="Times New Roman" w:eastAsia="宋体" w:cs="Times New Roman"/>
      <w:szCs w:val="24"/>
    </w:rPr>
  </w:style>
  <w:style w:type="paragraph" w:customStyle="1" w:styleId="22">
    <w:name w:val="p0"/>
    <w:basedOn w:val="1"/>
    <w:qFormat/>
    <w:uiPriority w:val="0"/>
    <w:pPr>
      <w:widowControl/>
    </w:pPr>
    <w:rPr>
      <w:rFonts w:ascii="Calibri" w:hAnsi="Calibri" w:eastAsia="宋体" w:cs="宋体"/>
      <w:kern w:val="0"/>
      <w:szCs w:val="21"/>
    </w:rPr>
  </w:style>
  <w:style w:type="character" w:customStyle="1" w:styleId="23">
    <w:name w:val="标题 1 Char Char"/>
    <w:basedOn w:val="13"/>
    <w:link w:val="2"/>
    <w:uiPriority w:val="9"/>
    <w:rPr>
      <w:rFonts w:ascii="黑体" w:hAnsi="黑体" w:eastAsia="黑体" w:cs="宋体"/>
      <w:color w:val="000000"/>
      <w:kern w:val="0"/>
      <w:sz w:val="30"/>
      <w:szCs w:val="30"/>
    </w:rPr>
  </w:style>
  <w:style w:type="character" w:customStyle="1" w:styleId="24">
    <w:name w:val="标题 2 Char Char"/>
    <w:basedOn w:val="13"/>
    <w:link w:val="3"/>
    <w:uiPriority w:val="9"/>
    <w:rPr>
      <w:rFonts w:ascii="Cambria" w:hAnsi="Cambria" w:eastAsia="宋体" w:cs="Times New Roman"/>
      <w:b/>
      <w:bCs/>
      <w:sz w:val="32"/>
      <w:szCs w:val="32"/>
    </w:rPr>
  </w:style>
  <w:style w:type="character" w:customStyle="1" w:styleId="25">
    <w:name w:val="标题 3 Char Char"/>
    <w:basedOn w:val="13"/>
    <w:link w:val="4"/>
    <w:uiPriority w:val="9"/>
    <w:rPr>
      <w:rFonts w:ascii="仿宋_GB2312" w:hAnsi="Calibri" w:eastAsia="仿宋_GB2312" w:cs="Times New Roman"/>
      <w:sz w:val="30"/>
      <w:szCs w:val="30"/>
    </w:rPr>
  </w:style>
  <w:style w:type="character" w:customStyle="1" w:styleId="26">
    <w:name w:val="页眉 Char Char"/>
    <w:basedOn w:val="13"/>
    <w:link w:val="9"/>
    <w:uiPriority w:val="99"/>
    <w:rPr>
      <w:sz w:val="18"/>
      <w:szCs w:val="18"/>
    </w:rPr>
  </w:style>
  <w:style w:type="character" w:customStyle="1" w:styleId="27">
    <w:name w:val="页脚 Char Char"/>
    <w:basedOn w:val="13"/>
    <w:link w:val="8"/>
    <w:uiPriority w:val="99"/>
    <w:rPr>
      <w:sz w:val="18"/>
      <w:szCs w:val="18"/>
    </w:rPr>
  </w:style>
  <w:style w:type="character" w:customStyle="1" w:styleId="28">
    <w:name w:val="批注框文本 Char Char"/>
    <w:basedOn w:val="13"/>
    <w:link w:val="7"/>
    <w:uiPriority w:val="0"/>
    <w:rPr>
      <w:sz w:val="18"/>
      <w:szCs w:val="18"/>
    </w:rPr>
  </w:style>
  <w:style w:type="character" w:customStyle="1" w:styleId="29">
    <w:name w:val="批注框文本 Char1"/>
    <w:basedOn w:val="13"/>
    <w:semiHidden/>
    <w:uiPriority w:val="99"/>
    <w:rPr>
      <w:sz w:val="18"/>
      <w:szCs w:val="18"/>
    </w:rPr>
  </w:style>
  <w:style w:type="character" w:customStyle="1" w:styleId="30">
    <w:name w:val="HTML 预设格式 Char Char"/>
    <w:basedOn w:val="13"/>
    <w:link w:val="11"/>
    <w:uiPriority w:val="99"/>
    <w:rPr>
      <w:rFonts w:ascii="宋体" w:hAnsi="宋体" w:eastAsia="宋体" w:cs="宋体"/>
      <w:kern w:val="0"/>
      <w:sz w:val="24"/>
      <w:szCs w:val="24"/>
    </w:rPr>
  </w:style>
  <w:style w:type="character" w:customStyle="1" w:styleId="31">
    <w:name w:val="批注文字 Char Char"/>
    <w:basedOn w:val="13"/>
    <w:link w:val="6"/>
    <w:uiPriority w:val="99"/>
    <w:rPr>
      <w:rFonts w:ascii="Calibri" w:hAnsi="Calibri" w:eastAsia="宋体" w:cs="Times New Roman"/>
    </w:rPr>
  </w:style>
  <w:style w:type="character" w:customStyle="1" w:styleId="32">
    <w:name w:val="脚注文本 Char Char"/>
    <w:basedOn w:val="13"/>
    <w:link w:val="10"/>
    <w:uiPriority w:val="0"/>
    <w:rPr>
      <w:rFonts w:ascii="Times New Roman" w:hAnsi="Times New Roman"/>
      <w:sz w:val="18"/>
      <w:szCs w:val="18"/>
    </w:rPr>
  </w:style>
  <w:style w:type="character" w:customStyle="1" w:styleId="33">
    <w:name w:val="标题 4 Char Char"/>
    <w:qFormat/>
    <w:uiPriority w:val="0"/>
    <w:rPr>
      <w:rFonts w:ascii="Calibri" w:hAnsi="Calibri"/>
      <w:b/>
      <w:bCs/>
      <w:sz w:val="28"/>
      <w:szCs w:val="28"/>
      <w:lang w:eastAsia="en-US" w:bidi="en-US"/>
    </w:rPr>
  </w:style>
  <w:style w:type="character" w:customStyle="1" w:styleId="34">
    <w:name w:val="文档结构图 Char Char"/>
    <w:basedOn w:val="13"/>
    <w:link w:val="5"/>
    <w:uiPriority w:val="0"/>
    <w:rPr>
      <w:rFonts w:ascii="宋体"/>
      <w:sz w:val="18"/>
      <w:szCs w:val="18"/>
    </w:rPr>
  </w:style>
  <w:style w:type="character" w:customStyle="1" w:styleId="35">
    <w:name w:val="Intense Emphasis"/>
    <w:basedOn w:val="13"/>
    <w:qFormat/>
    <w:uiPriority w:val="21"/>
    <w:rPr>
      <w:b/>
      <w:bCs/>
      <w:i/>
      <w:iCs/>
      <w:color w:val="4F81BD"/>
    </w:rPr>
  </w:style>
  <w:style w:type="character" w:customStyle="1" w:styleId="36">
    <w:name w:val="文档结构图 Char1"/>
    <w:basedOn w:val="13"/>
    <w:semiHidden/>
    <w:qFormat/>
    <w:uiPriority w:val="99"/>
    <w:rPr>
      <w:rFonts w:ascii="宋体" w:eastAsia="宋体"/>
      <w:sz w:val="18"/>
      <w:szCs w:val="18"/>
    </w:rPr>
  </w:style>
  <w:style w:type="character" w:customStyle="1" w:styleId="37">
    <w:name w:val="脚注文本 Char2"/>
    <w:basedOn w:val="13"/>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9</Pages>
  <Words>408</Words>
  <Characters>2331</Characters>
  <Lines>19</Lines>
  <Paragraphs>5</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2020-03-17T01:49:00Z</dcterms:created>
  <dc:creator>朱敏1</dc:creator>
  <cp:lastModifiedBy>李袁宁</cp:lastModifiedBy>
  <cp:lastPrinted>2019-11-29T03:02:00Z</cp:lastPrinted>
  <dcterms:modified xsi:type="dcterms:W3CDTF">2021-11-22T09:52:02Z</dcterms:modified>
  <dc:title>编号：57006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