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“资本项目外汇资金汇出境外的购付汇核准”行政审批服务指南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四、金融机构内保外贷履约购付汇备案</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2.《国家外汇管理局关于发布&lt;跨境担保外汇管理规定&gt;的通知》（汇发〔2014〕29号）；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《国家外汇管理局综合司关于完善银行内保外贷外汇管理的通知》（汇综发〔2017〕108号）。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w:t>
      </w:r>
      <w:r>
        <w:rPr>
          <w:rFonts w:hint="eastAsia" w:ascii="Times New Roman" w:hAnsi="Times New Roman" w:eastAsia="仿宋_GB2312" w:cs="Times New Roman"/>
          <w:sz w:val="30"/>
          <w:szCs w:val="30"/>
        </w:rPr>
        <w:t>分</w:t>
      </w:r>
      <w:r>
        <w:rPr>
          <w:rFonts w:ascii="Times New Roman" w:hAnsi="Times New Roman" w:eastAsia="仿宋_GB2312" w:cs="Times New Roman"/>
          <w:sz w:val="30"/>
          <w:szCs w:val="30"/>
        </w:rPr>
        <w:t>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w:t>
      </w:r>
      <w:r>
        <w:rPr>
          <w:rFonts w:hint="eastAsia" w:ascii="Times New Roman" w:hAnsi="Times New Roman" w:eastAsia="仿宋_GB2312" w:cs="Times New Roman"/>
          <w:sz w:val="30"/>
          <w:szCs w:val="30"/>
        </w:rPr>
        <w:t>分</w:t>
      </w:r>
      <w:r>
        <w:rPr>
          <w:rFonts w:ascii="Times New Roman" w:hAnsi="Times New Roman" w:eastAsia="仿宋_GB2312" w:cs="Times New Roman"/>
          <w:sz w:val="30"/>
          <w:szCs w:val="30"/>
        </w:rPr>
        <w:t>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汇发〔2017〕3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widowControl/>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rPr>
        <w:t>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内保外贷业务合同（或合同简明条款）</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w:t>
            </w:r>
            <w:r>
              <w:rPr>
                <w:rFonts w:ascii="Times New Roman" w:hAnsi="Times New Roman" w:eastAsia="仿宋_GB2312" w:cs="Times New Roman"/>
                <w:color w:val="000000"/>
                <w:sz w:val="24"/>
                <w:szCs w:val="24"/>
              </w:rPr>
              <w:t>确需</w:t>
            </w:r>
            <w:r>
              <w:rPr>
                <w:rFonts w:ascii="Times New Roman" w:hAnsi="Times New Roman" w:eastAsia="仿宋_GB2312" w:cs="Times New Roman"/>
                <w:color w:val="000000"/>
                <w:kern w:val="0"/>
                <w:sz w:val="24"/>
                <w:szCs w:val="24"/>
              </w:rPr>
              <w:t>购付汇履约</w:t>
            </w:r>
            <w:r>
              <w:rPr>
                <w:rFonts w:hint="eastAsia" w:ascii="Times New Roman" w:hAnsi="Times New Roman" w:eastAsia="仿宋_GB2312" w:cs="Times New Roman"/>
                <w:color w:val="000000"/>
                <w:kern w:val="0"/>
                <w:sz w:val="24"/>
                <w:szCs w:val="24"/>
              </w:rPr>
              <w:t>及购汇资金来源的证明</w:t>
            </w:r>
            <w:r>
              <w:rPr>
                <w:rFonts w:ascii="Times New Roman" w:hAnsi="Times New Roman" w:eastAsia="仿宋_GB2312" w:cs="Times New Roman"/>
                <w:kern w:val="0"/>
                <w:sz w:val="24"/>
                <w:szCs w:val="24"/>
              </w:rPr>
              <w:t>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内保外贷履约证明材料</w:t>
            </w:r>
          </w:p>
        </w:tc>
        <w:tc>
          <w:tcPr>
            <w:tcW w:w="198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hint="eastAsia" w:ascii="Times New Roman" w:hAnsi="黑体" w:eastAsia="黑体" w:cs="Times New Roman"/>
          <w:sz w:val="30"/>
          <w:szCs w:val="30"/>
          <w:lang w:eastAsia="zh-CN"/>
        </w:rPr>
      </w:pPr>
      <w:r>
        <w:rPr>
          <w:rFonts w:hint="eastAsia" w:ascii="Times New Roman" w:hAnsi="黑体" w:eastAsia="黑体" w:cs="Times New Roman"/>
          <w:sz w:val="30"/>
          <w:szCs w:val="30"/>
          <w:lang w:eastAsia="zh-CN"/>
        </w:rPr>
        <w:t>（十五）</w:t>
      </w:r>
      <w:r>
        <w:rPr>
          <w:rFonts w:ascii="Times New Roman" w:hAnsi="黑体" w:eastAsia="黑体" w:cs="Times New Roman"/>
          <w:sz w:val="30"/>
          <w:szCs w:val="30"/>
        </w:rPr>
        <w:t>办公地址</w:t>
      </w:r>
      <w:r>
        <w:rPr>
          <w:rFonts w:hint="eastAsia" w:ascii="Times New Roman" w:hAnsi="黑体" w:eastAsia="黑体" w:cs="Times New Roman"/>
          <w:sz w:val="30"/>
          <w:szCs w:val="30"/>
          <w:lang w:eastAsia="zh-CN"/>
        </w:rPr>
        <w:t>、</w:t>
      </w:r>
      <w:r>
        <w:rPr>
          <w:rFonts w:ascii="Times New Roman" w:hAnsi="黑体" w:eastAsia="黑体" w:cs="Times New Roman"/>
          <w:sz w:val="30"/>
          <w:szCs w:val="30"/>
        </w:rPr>
        <w:t>时间、</w:t>
      </w:r>
      <w:r>
        <w:rPr>
          <w:rFonts w:hint="eastAsia" w:ascii="Times New Roman" w:hAnsi="黑体" w:eastAsia="黑体" w:cs="Times New Roman"/>
          <w:sz w:val="30"/>
          <w:szCs w:val="30"/>
          <w:lang w:eastAsia="zh-CN"/>
        </w:rPr>
        <w:t>联系方式</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办公地址：云南省昆明市五华区正义路69号国家外汇管理局云南省分局1402室</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联系电话：0871-63212721（资本项目管理处）</w:t>
      </w:r>
    </w:p>
    <w:p>
      <w:pPr>
        <w:adjustRightInd w:val="0"/>
        <w:snapToGrid w:val="0"/>
        <w:spacing w:line="360" w:lineRule="auto"/>
        <w:ind w:firstLine="600"/>
        <w:rPr>
          <w:rFonts w:ascii="Times New Roman" w:hAnsi="Times New Roman" w:eastAsia="黑体" w:cs="Times New Roman"/>
          <w:sz w:val="30"/>
          <w:szCs w:val="30"/>
        </w:rPr>
      </w:pPr>
      <w:bookmarkStart w:id="0" w:name="_GoBack"/>
      <w:bookmarkEnd w:id="0"/>
      <w:r>
        <w:rPr>
          <w:rFonts w:ascii="Times New Roman" w:hAnsi="黑体" w:eastAsia="黑体" w:cs="Times New Roman"/>
          <w:sz w:val="30"/>
          <w:szCs w:val="30"/>
        </w:rPr>
        <w:t>（十</w:t>
      </w:r>
      <w:r>
        <w:rPr>
          <w:rFonts w:hint="eastAsia" w:ascii="Times New Roman" w:hAnsi="黑体" w:eastAsia="黑体" w:cs="Times New Roman"/>
          <w:sz w:val="30"/>
          <w:szCs w:val="30"/>
          <w:lang w:eastAsia="zh-CN"/>
        </w:rPr>
        <w:t>六</w:t>
      </w:r>
      <w:r>
        <w:rPr>
          <w:rFonts w:ascii="Times New Roman" w:hAnsi="黑体" w:eastAsia="黑体" w:cs="Times New Roman"/>
          <w:sz w:val="30"/>
          <w:szCs w:val="30"/>
        </w:rPr>
        <w:t>）咨询途径、监督和投诉、公开查询方式等由所在地分局（外汇管理部）另行公布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83" o:spid="_x0000_s1027" style="position:absolute;left:0;margin-left:-12.65pt;margin-top:4.6pt;height:586.05pt;width:446.05pt;rotation:0f;z-index:251658240;" coordorigin="0,0" coordsize="8921,11721">
            <o:lock v:ext="edit" position="f" selection="f" grouping="f" rotation="f" cropping="f" text="f" aspectratio="f"/>
            <v:rect id="Rectangle 1184"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85"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86"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87"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88"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89"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90"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91"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92" o:spid="_x0000_s1036" style="position:absolute;left:0;top:0;height:7693;width:8921;rotation:0f;" coordorigin="0,0" coordsize="8921,7693">
              <o:lock v:ext="edit" position="f" selection="f" grouping="f" rotation="f" cropping="f" text="f" aspectratio="f"/>
              <v:shape id="AutoShape 1193"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94" o:spid="_x0000_s1038" style="position:absolute;left:0;top:0;height:7693;width:8921;rotation:0f;" coordorigin="0,0" coordsize="8921,7693">
                <o:lock v:ext="edit" position="f" selection="f" grouping="f" rotation="f" cropping="f" text="f" aspectratio="f"/>
                <v:shape id="AutoShape 1195"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96"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97"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98"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99"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00"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01"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02"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03" o:spid="_x0000_s1047" style="position:absolute;left:0;top:0;height:7424;width:4594;rotation:0f;" coordorigin="0,0" coordsize="4594,7424">
                  <o:lock v:ext="edit" position="f" selection="f" grouping="f" rotation="f" cropping="f" text="f" aspectratio="f"/>
                  <v:shape id="AutoShape 1204"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05"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06" o:spid="_x0000_s1050" style="position:absolute;left:0;top:0;height:3986;width:3629;rotation:0f;" coordorigin="0,0" coordsize="3629,3986">
                    <o:lock v:ext="edit" position="f" selection="f" grouping="f" rotation="f" cropping="f" text="f" aspectratio="f"/>
                    <v:shape id="AutoShape 1207"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08"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09"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10"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11"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12"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13"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14"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15"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16"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ind w:right="-58"/>
        <w:jc w:val="center"/>
        <w:rPr>
          <w:rFonts w:ascii="Times New Roman" w:hAnsi="Times New Roman" w:eastAsia="仿宋_GB2312"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问：金融机构办理内保外贷履约，如担保履约资金与担保项下债务提款币种不一致而需要办理购汇的，应如何办理？</w:t>
      </w: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答：由其分行或总行/总部汇总自身及下属分支机构的担保履约款结汇（或购汇）申请后，向其所在地外汇局集中提出申请。</w:t>
      </w:r>
    </w:p>
    <w:p>
      <w:pPr>
        <w:widowControl/>
        <w:jc w:val="left"/>
        <w:rPr>
          <w:rFonts w:ascii="Times New Roman" w:hAnsi="Times New Roman" w:eastAsia="仿宋_GB2312" w:cs="Times New Roman"/>
          <w:sz w:val="30"/>
          <w:szCs w:val="30"/>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altName w:val="Century Gothic"/>
    <w:panose1 w:val="020F0502020204030204"/>
    <w:charset w:val="00"/>
    <w:family w:val="auto"/>
    <w:pitch w:val="default"/>
    <w:sig w:usb0="E00002FF" w:usb1="4000ACFF" w:usb2="00000001" w:usb3="00000000" w:csb0="2000019F" w:csb1="00000000"/>
  </w:font>
  <w:font w:name="Cambria">
    <w:altName w:val="Palatino Linotype"/>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Century Gothic">
    <w:panose1 w:val="020B05020202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5</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187"/>
        <o:r id="V:Rule2" type="connector" idref="#AutoShape 1188"/>
        <o:r id="V:Rule3" type="connector" idref="#AutoShape 1189"/>
        <o:r id="V:Rule4" type="connector" idref="#AutoShape 1190"/>
        <o:r id="V:Rule5" type="connector" idref="#AutoShape 1191"/>
        <o:r id="V:Rule6" type="connector" idref="#AutoShape 1193"/>
        <o:r id="V:Rule7" type="connector" idref="#AutoShape 1195"/>
        <o:r id="V:Rule8" type="connector" idref="#AutoShape 1197"/>
        <o:r id="V:Rule9" type="connector" idref="#AutoShape 1204"/>
        <o:r id="V:Rule10" type="connector" idref="#AutoShape 1205"/>
        <o:r id="V:Rule11" type="connector" idref="#AutoShape 1207"/>
        <o:r id="V:Rule12" type="connector" idref="#AutoShape 1208"/>
        <o:r id="V:Rule13" type="connector" idref="#AutoShape 1211"/>
        <o:r id="V:Rule14" type="connector" idref="#AutoShape 1212"/>
        <o:r id="V:Rule15" type="connector" idref="#AutoShape 1213"/>
        <o:r id="V:Rule16" type="connector" idref="#AutoShape 121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2"/>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29"/>
    <w:unhideWhenUsed/>
    <w:uiPriority w:val="99"/>
    <w:pPr>
      <w:jc w:val="left"/>
    </w:pPr>
    <w:rPr>
      <w:rFonts w:ascii="Calibri" w:hAnsi="Calibri" w:eastAsia="宋体"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2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semiHidden/>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34"/>
    <w:pPr>
      <w:ind w:firstLine="420" w:firstLineChars="200"/>
    </w:pPr>
  </w:style>
  <w:style w:type="paragraph" w:customStyle="1" w:styleId="18">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Revision"/>
    <w:hidden/>
    <w:semiHidden/>
    <w:qFormat/>
    <w:uiPriority w:val="99"/>
    <w:rPr>
      <w:rFonts w:ascii="Calibri" w:hAnsi="Calibri" w:eastAsia="宋体" w:cs="黑体"/>
      <w:kern w:val="2"/>
      <w:sz w:val="21"/>
      <w:szCs w:val="22"/>
      <w:lang w:val="en-US" w:eastAsia="zh-CN" w:bidi="ar-SA"/>
    </w:rPr>
  </w:style>
  <w:style w:type="paragraph" w:customStyle="1" w:styleId="21">
    <w:name w:val="列出段落1"/>
    <w:basedOn w:val="1"/>
    <w:qFormat/>
    <w:uiPriority w:val="34"/>
    <w:pPr>
      <w:ind w:firstLine="420" w:firstLineChars="200"/>
    </w:pPr>
    <w:rPr>
      <w:rFonts w:ascii="Calibri" w:hAnsi="Calibri" w:eastAsia="宋体" w:cs="Times New Roman"/>
    </w:rPr>
  </w:style>
  <w:style w:type="paragraph" w:customStyle="1" w:styleId="22">
    <w:name w:val="列出段落4"/>
    <w:basedOn w:val="1"/>
    <w:qFormat/>
    <w:uiPriority w:val="0"/>
    <w:pPr>
      <w:ind w:firstLine="200" w:firstLineChars="200"/>
    </w:pPr>
    <w:rPr>
      <w:rFonts w:ascii="Calibri" w:hAnsi="Calibri" w:eastAsia="宋体" w:cs="Times New Roman"/>
    </w:rPr>
  </w:style>
  <w:style w:type="paragraph" w:customStyle="1" w:styleId="23">
    <w:name w:val="列出段落3"/>
    <w:basedOn w:val="1"/>
    <w:qFormat/>
    <w:uiPriority w:val="0"/>
    <w:pPr>
      <w:ind w:firstLine="420" w:firstLineChars="200"/>
    </w:pPr>
    <w:rPr>
      <w:rFonts w:ascii="Times New Roman" w:hAnsi="Times New Roman" w:eastAsia="宋体" w:cs="Times New Roman"/>
      <w:szCs w:val="24"/>
    </w:rPr>
  </w:style>
  <w:style w:type="paragraph" w:customStyle="1" w:styleId="24">
    <w:name w:val="p0"/>
    <w:basedOn w:val="1"/>
    <w:qFormat/>
    <w:uiPriority w:val="0"/>
    <w:pPr>
      <w:widowControl/>
    </w:pPr>
    <w:rPr>
      <w:rFonts w:ascii="Calibri" w:hAnsi="Calibri" w:eastAsia="宋体" w:cs="宋体"/>
      <w:kern w:val="0"/>
      <w:szCs w:val="21"/>
    </w:rPr>
  </w:style>
  <w:style w:type="character" w:customStyle="1" w:styleId="25">
    <w:name w:val="页眉 Char"/>
    <w:basedOn w:val="13"/>
    <w:link w:val="9"/>
    <w:uiPriority w:val="99"/>
    <w:rPr>
      <w:sz w:val="18"/>
      <w:szCs w:val="18"/>
    </w:rPr>
  </w:style>
  <w:style w:type="character" w:customStyle="1" w:styleId="26">
    <w:name w:val="页脚 Char"/>
    <w:basedOn w:val="13"/>
    <w:link w:val="8"/>
    <w:uiPriority w:val="99"/>
    <w:rPr>
      <w:sz w:val="18"/>
      <w:szCs w:val="18"/>
    </w:rPr>
  </w:style>
  <w:style w:type="character" w:customStyle="1" w:styleId="27">
    <w:name w:val="批注框文本 Char"/>
    <w:basedOn w:val="13"/>
    <w:link w:val="7"/>
    <w:semiHidden/>
    <w:uiPriority w:val="0"/>
    <w:rPr>
      <w:sz w:val="18"/>
      <w:szCs w:val="18"/>
    </w:rPr>
  </w:style>
  <w:style w:type="character" w:customStyle="1" w:styleId="28">
    <w:name w:val="HTML 预设格式 Char"/>
    <w:basedOn w:val="13"/>
    <w:link w:val="11"/>
    <w:uiPriority w:val="99"/>
    <w:rPr>
      <w:rFonts w:ascii="宋体" w:hAnsi="宋体" w:eastAsia="宋体" w:cs="宋体"/>
      <w:kern w:val="0"/>
      <w:sz w:val="24"/>
      <w:szCs w:val="24"/>
    </w:rPr>
  </w:style>
  <w:style w:type="character" w:customStyle="1" w:styleId="29">
    <w:name w:val="批注文字 Char"/>
    <w:basedOn w:val="13"/>
    <w:link w:val="6"/>
    <w:semiHidden/>
    <w:uiPriority w:val="0"/>
    <w:rPr>
      <w:rFonts w:ascii="Calibri" w:hAnsi="Calibri" w:eastAsia="宋体" w:cs="Times New Roman"/>
    </w:rPr>
  </w:style>
  <w:style w:type="character" w:customStyle="1" w:styleId="30">
    <w:name w:val="标题 1 Char"/>
    <w:basedOn w:val="13"/>
    <w:link w:val="2"/>
    <w:qFormat/>
    <w:uiPriority w:val="9"/>
    <w:rPr>
      <w:rFonts w:ascii="黑体" w:hAnsi="黑体" w:eastAsia="黑体" w:cs="宋体"/>
      <w:color w:val="000000"/>
      <w:kern w:val="0"/>
      <w:sz w:val="30"/>
      <w:szCs w:val="30"/>
    </w:rPr>
  </w:style>
  <w:style w:type="character" w:customStyle="1" w:styleId="31">
    <w:name w:val="标题 2 Char"/>
    <w:basedOn w:val="13"/>
    <w:link w:val="3"/>
    <w:qFormat/>
    <w:uiPriority w:val="0"/>
    <w:rPr>
      <w:rFonts w:ascii="Cambria" w:hAnsi="Cambria" w:eastAsia="宋体" w:cs="Times New Roman"/>
      <w:b/>
      <w:bCs/>
      <w:sz w:val="32"/>
      <w:szCs w:val="32"/>
    </w:rPr>
  </w:style>
  <w:style w:type="character" w:customStyle="1" w:styleId="32">
    <w:name w:val="标题 3 Char"/>
    <w:basedOn w:val="13"/>
    <w:link w:val="4"/>
    <w:qFormat/>
    <w:uiPriority w:val="9"/>
    <w:rPr>
      <w:rFonts w:ascii="仿宋_GB2312" w:hAnsi="Calibri" w:eastAsia="仿宋_GB2312" w:cs="Times New Roman"/>
      <w:sz w:val="30"/>
      <w:szCs w:val="30"/>
    </w:rPr>
  </w:style>
  <w:style w:type="character" w:customStyle="1" w:styleId="33">
    <w:name w:val="脚注文本 Char"/>
    <w:basedOn w:val="13"/>
    <w:semiHidden/>
    <w:uiPriority w:val="99"/>
    <w:rPr>
      <w:kern w:val="2"/>
      <w:sz w:val="18"/>
      <w:szCs w:val="18"/>
    </w:rPr>
  </w:style>
  <w:style w:type="character" w:customStyle="1" w:styleId="34">
    <w:name w:val="脚注文本 Char1"/>
    <w:basedOn w:val="13"/>
    <w:link w:val="10"/>
    <w:semiHidden/>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批注文字 Char1"/>
    <w:basedOn w:val="13"/>
    <w:semiHidden/>
    <w:qFormat/>
    <w:uiPriority w:val="99"/>
    <w:rPr>
      <w:kern w:val="2"/>
      <w:sz w:val="21"/>
      <w:szCs w:val="22"/>
    </w:rPr>
  </w:style>
  <w:style w:type="character" w:customStyle="1" w:styleId="38">
    <w:name w:val="Intense Emphasis"/>
    <w:basedOn w:val="13"/>
    <w:qFormat/>
    <w:uiPriority w:val="21"/>
    <w:rPr>
      <w:b/>
      <w:bCs/>
      <w:i/>
      <w:iCs/>
      <w:color w:val="4F81BD"/>
    </w:rPr>
  </w:style>
  <w:style w:type="character" w:customStyle="1" w:styleId="39">
    <w:name w:val="文档结构图 Char1"/>
    <w:basedOn w:val="13"/>
    <w:semiHidden/>
    <w:qFormat/>
    <w:uiPriority w:val="99"/>
    <w:rPr>
      <w:rFonts w:ascii="宋体" w:eastAsia="宋体"/>
      <w:sz w:val="18"/>
      <w:szCs w:val="18"/>
    </w:rPr>
  </w:style>
  <w:style w:type="character" w:customStyle="1" w:styleId="40">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265</Words>
  <Characters>1511</Characters>
  <Lines>12</Lines>
  <Paragraphs>3</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2020-03-18T05:35:00Z</dcterms:created>
  <dc:creator>裴建君2</dc:creator>
  <cp:lastModifiedBy>赵欣媛</cp:lastModifiedBy>
  <cp:lastPrinted>2020-01-15T09:21:00Z</cp:lastPrinted>
  <dcterms:modified xsi:type="dcterms:W3CDTF">2021-11-22T10:04:34Z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