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FD" w:rsidRDefault="007526FD" w:rsidP="007526FD">
      <w:pPr>
        <w:adjustRightInd w:val="0"/>
        <w:snapToGrid w:val="0"/>
        <w:spacing w:line="560" w:lineRule="exact"/>
        <w:rPr>
          <w:rFonts w:ascii="黑体" w:eastAsia="黑体" w:hAnsi="黑体" w:cs="黑体"/>
          <w:bCs/>
          <w:sz w:val="32"/>
          <w:szCs w:val="32"/>
        </w:rPr>
      </w:pPr>
      <w:r>
        <w:rPr>
          <w:rFonts w:ascii="黑体" w:eastAsia="黑体" w:hAnsi="黑体" w:cs="黑体" w:hint="eastAsia"/>
          <w:bCs/>
          <w:sz w:val="32"/>
          <w:szCs w:val="32"/>
        </w:rPr>
        <w:t>附4</w:t>
      </w:r>
    </w:p>
    <w:p w:rsidR="007526FD" w:rsidRDefault="007526FD" w:rsidP="007526FD">
      <w:pPr>
        <w:jc w:val="center"/>
        <w:rPr>
          <w:rFonts w:ascii="黑体" w:eastAsia="黑体" w:hAnsi="黑体"/>
          <w:b/>
          <w:sz w:val="36"/>
        </w:rPr>
      </w:pPr>
      <w:r>
        <w:rPr>
          <w:rFonts w:ascii="黑体" w:eastAsia="黑体" w:hAnsi="黑体" w:hint="eastAsia"/>
          <w:b/>
          <w:sz w:val="36"/>
        </w:rPr>
        <w:t>银行办理境内公司境外上市登记及变更、注销</w:t>
      </w:r>
    </w:p>
    <w:p w:rsidR="007526FD" w:rsidRDefault="007526FD" w:rsidP="007526FD">
      <w:pPr>
        <w:jc w:val="center"/>
        <w:rPr>
          <w:rFonts w:ascii="黑体" w:eastAsia="黑体" w:hAnsi="黑体"/>
          <w:b/>
          <w:sz w:val="36"/>
        </w:rPr>
      </w:pPr>
      <w:r>
        <w:rPr>
          <w:rFonts w:ascii="黑体" w:eastAsia="黑体" w:hAnsi="黑体" w:hint="eastAsia"/>
          <w:b/>
          <w:sz w:val="36"/>
        </w:rPr>
        <w:t>登记业务实施细则</w:t>
      </w:r>
    </w:p>
    <w:p w:rsidR="007526FD" w:rsidRDefault="007526FD" w:rsidP="007526FD">
      <w:pPr>
        <w:ind w:firstLineChars="200" w:firstLine="600"/>
        <w:rPr>
          <w:rFonts w:ascii="仿宋" w:eastAsia="仿宋" w:hAnsi="仿宋" w:cs="仿宋"/>
          <w:sz w:val="30"/>
          <w:szCs w:val="30"/>
        </w:rPr>
      </w:pP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为便利银行办理境内公司境外上市登记及变更、注销登记，根据服务实体经济、有效防范风险的原则，制定本实施细则。</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注册在厦门市的非金融企业（房地产企业、地方政府融资平台、融资租赁公司、融资担保公司、商业保理公司、地方资产管理公司、小额贷款公司、典当行除外）原则上应在境外发行活动结束之日起或超额配售完成后15 个工作日内，向国家外汇管理局厦门市分局辖内银行申请办理境外上市登记。并需提供以下材料：</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（一）书面申请，并附《境外上市登记表》（见附表）；</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（二）证监会关于境内公司境外上市的备案文件（按证监会要求无需事前备案的除外）；</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（三）境外发行或超额配售完成的公告文件。</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企业（H股上市公司）发生如下情形，应及时办理变更（注销）登记：</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境外上市公司名称、注册地址、主要股东信息等发生变更；（2）完成境外股份回购，将可转换债券转为股票，资本公积、盈余公积、未分配利润转增股本等导致资本变动；（3）境内股东增持、减持、转让、受让境外股份计划实施</w:t>
      </w:r>
      <w:r>
        <w:rPr>
          <w:rFonts w:ascii="仿宋_GB2312" w:eastAsia="仿宋_GB2312" w:hAnsi="仿宋_GB2312" w:cs="仿宋_GB2312" w:hint="eastAsia"/>
          <w:sz w:val="32"/>
          <w:szCs w:val="32"/>
        </w:rPr>
        <w:lastRenderedPageBreak/>
        <w:t>完毕使得境外上市公司股权结构发生变化；（4）境外上市前境内股东持有的内资股、境外上市后在境内增发的内资股或外资股东持有的未上市流通股份经证监会备案进行H股“全流通”；（5）增发（含超额配售、向境内特定对象发行证券购买资产）股份。</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其中，（4）、（5）项应在变更事项完成之日起20个工作日内申请办理境外上市变更登记。</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境内公司从境外证券市场退市的，应及时办理境外上市登记注销。</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内公司（不含银行）境外发行可转换为股票的公司债券以及发行非参与型优先股，参照外债管理规定办理外债登记、开户、汇兑等。境内公司将可转换债券转为股票的，需按规定办理外债变更或注销登记（允许转入结算账户）以及境外上市变更登记。</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转换债券若一次性转股，应在转股后20个工作日内申请办理境外上市变更登记；若分多批次转股，可选择在年末集中就当年发生的转股办理境外上市变更登记；若部分转股后，发生可转换债券强制赎回、到期中止交易等事件，应在事件发生后20个工作日内就已转股部分办理境外上市变更登记。</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企业申请办理境外上市变更（注销）登记，需提供以下材料：</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（一）变更登记—一般情形：</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1.书面申请，并附《境外上市登记表》；</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2.主管部门关于变更事项的相关批复或备案文件（如有）；</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3.变更事项相关证明材料。</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（二）变更登记—H股“全流通”：</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1.书面申请（含获准H股“全流通”后，参与“全流通”的境内股东H股持股信息），并附《境外上市登记表》；</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2.证监会关于H股“全流通”业务的备案文件；</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3.境外上市公司关于开展H股“全流通”业务的公告文件。</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（三）注销登记：</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1.书面申请；</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2.退市公告；</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3.主管部门关于注销事项的相关批复或备案文件（如有）。</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企业变更（注销）业务或事项应符合主管部门相关管理要求。参与H股“全流通”的境内股东H股持股信息应符合证监会备案内容。</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企业在境外上市（首发或增发）备案时同时获批参与H股“全流通”的，无需单独申请H股“全流通”变更登记，与境外上市登记一并办理。</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银行办理登记前，需核实企业实际情况、申请信息与资本项目信息系统中的信息是否一致，不一致的需核实</w:t>
      </w:r>
      <w:r>
        <w:rPr>
          <w:rFonts w:ascii="仿宋_GB2312" w:eastAsia="仿宋_GB2312" w:hAnsi="仿宋_GB2312" w:cs="仿宋_GB2312" w:hint="eastAsia"/>
          <w:sz w:val="32"/>
          <w:szCs w:val="32"/>
        </w:rPr>
        <w:lastRenderedPageBreak/>
        <w:t>原因，待相关信息一致后再办理新的登记业务。</w:t>
      </w: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银行应通过资本项目信息系统办理境外上市登记（含变更、注销登记），打印《业务登记凭证》并加盖银行业务印章后交给申请人。</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企业应凭境外上市业务登记凭证，在境内银行开立境外上市外汇专用账户（账户性质为资本项目-结算账户，账户代码为2103，无开户银行、账户数量限制），办理首发（或增发）、回购等业务的资金收付和汇兑。</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境外上市募集资金原则上应及时调回境内，可以人民币或外币调回。资金用途应与招股说明文件或公司债券募集说明文件、股东通函、董事会或股东大会决议等公开披露的文件所列相关内容一致。境内公司使用境外上市募集资金开展境外直接投资、境外证券投资、境外放款等业务，应符合相关外汇管理规定。</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企业因办理境外上市相关业务需要，可在境外开立相应的专用账户，境外专用账户的收支范围应符合境内企业境外上市外汇管理规定。</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经证监会备案进行H股“全流通”的境内企业，应通过银行在资本项目信息系统中办理H股上市公司变更登记，将参与H股“全流通”的新增境内股东添加在“境外上市情况”—“交易所股东信息”中。</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境内公司在境外多个证券交易所上市，涉及在新的证券交易所募集资金的，视同首发上市办理境外上市登</w:t>
      </w:r>
      <w:r>
        <w:rPr>
          <w:rFonts w:ascii="仿宋_GB2312" w:eastAsia="仿宋_GB2312" w:hAnsi="仿宋_GB2312" w:cs="仿宋_GB2312" w:hint="eastAsia"/>
          <w:sz w:val="32"/>
          <w:szCs w:val="32"/>
        </w:rPr>
        <w:lastRenderedPageBreak/>
        <w:t>记；不涉及募集资金的，在首发境外上市登记基础上办理变更登记即可。</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企业以新增证券为基础发行境外存托凭证募集资金相关登记事项参照本实施细则办理。</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企业回购其境外股份的，仍应按现行规定到所属外汇分局办理回购相关业务。</w:t>
      </w:r>
    </w:p>
    <w:p w:rsidR="007526FD" w:rsidRDefault="007526FD" w:rsidP="007526F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第十五条 </w:t>
      </w:r>
      <w:r>
        <w:rPr>
          <w:rFonts w:ascii="仿宋_GB2312" w:eastAsia="仿宋_GB2312" w:hAnsi="仿宋_GB2312" w:cs="仿宋_GB2312" w:hint="eastAsia"/>
          <w:sz w:val="32"/>
          <w:szCs w:val="32"/>
        </w:rPr>
        <w:t>本实施细则中资本项目结算账户自2024年6月3日起使用，此前仍按现有外汇管理规定开立相应账户。</w:t>
      </w:r>
    </w:p>
    <w:p w:rsidR="007526FD" w:rsidRDefault="007526FD" w:rsidP="007526FD">
      <w:pPr>
        <w:ind w:firstLineChars="200" w:firstLine="643"/>
        <w:rPr>
          <w:rFonts w:ascii="仿宋_GB2312" w:eastAsia="仿宋_GB2312" w:hAnsi="仿宋_GB2312"/>
          <w:sz w:val="32"/>
        </w:rPr>
      </w:pPr>
      <w:r>
        <w:rPr>
          <w:rFonts w:ascii="仿宋_GB2312" w:eastAsia="仿宋_GB2312" w:hAnsi="仿宋_GB2312" w:hint="eastAsia"/>
          <w:b/>
          <w:sz w:val="32"/>
        </w:rPr>
        <w:t>第十六条</w:t>
      </w:r>
      <w:r>
        <w:rPr>
          <w:rFonts w:ascii="仿宋_GB2312" w:eastAsia="仿宋_GB2312" w:hAnsi="仿宋_GB2312" w:hint="eastAsia"/>
          <w:sz w:val="32"/>
        </w:rPr>
        <w:t xml:space="preserve"> 外汇局负责对辖内银行办理的境外上市登记进行统计监测和业务核查。如有疑问或发生重大事项和异常情况的，银行应及时向外汇局报告。</w:t>
      </w:r>
    </w:p>
    <w:p w:rsidR="007526FD" w:rsidRDefault="007526FD" w:rsidP="007526FD">
      <w:pPr>
        <w:pStyle w:val="BodyTextFirstIndent21"/>
        <w:ind w:left="482" w:hanging="62"/>
      </w:pPr>
    </w:p>
    <w:p w:rsidR="007526FD" w:rsidRDefault="007526FD" w:rsidP="007526F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7526FD" w:rsidRPr="007526FD" w:rsidRDefault="007526FD" w:rsidP="007526FD">
      <w:pPr>
        <w:rPr>
          <w:rFonts w:ascii="仿宋" w:eastAsia="仿宋" w:hAnsi="仿宋" w:cs="仿宋"/>
          <w:sz w:val="32"/>
          <w:szCs w:val="32"/>
        </w:rPr>
      </w:pPr>
      <w:r>
        <w:rPr>
          <w:rFonts w:ascii="仿宋" w:eastAsia="仿宋" w:hAnsi="仿宋" w:cs="仿宋" w:hint="eastAsia"/>
          <w:sz w:val="32"/>
          <w:szCs w:val="32"/>
        </w:rPr>
        <w:lastRenderedPageBreak/>
        <w:t>附表</w:t>
      </w:r>
    </w:p>
    <w:p w:rsidR="007526FD" w:rsidRDefault="007526FD" w:rsidP="007526FD">
      <w:pPr>
        <w:widowControl/>
        <w:jc w:val="center"/>
        <w:rPr>
          <w:rFonts w:ascii="宋体" w:eastAsia="宋体" w:hAnsi="宋体" w:cs="黑体"/>
          <w:b/>
          <w:sz w:val="28"/>
          <w:szCs w:val="28"/>
        </w:rPr>
      </w:pPr>
      <w:bookmarkStart w:id="0" w:name="_Toc54703081"/>
      <w:r>
        <w:rPr>
          <w:rFonts w:ascii="宋体" w:eastAsia="宋体" w:hAnsi="宋体" w:cs="黑体" w:hint="eastAsia"/>
          <w:b/>
          <w:sz w:val="28"/>
          <w:szCs w:val="28"/>
        </w:rPr>
        <w:t>境外上市登记表</w:t>
      </w:r>
      <w:bookmarkEnd w:id="0"/>
    </w:p>
    <w:p w:rsidR="007526FD" w:rsidRDefault="007526FD" w:rsidP="007526FD">
      <w:pPr>
        <w:spacing w:line="400" w:lineRule="exact"/>
        <w:jc w:val="left"/>
        <w:rPr>
          <w:rFonts w:ascii="宋体" w:eastAsia="宋体" w:hAnsi="宋体"/>
          <w:szCs w:val="21"/>
        </w:rPr>
      </w:pPr>
      <w:r>
        <w:rPr>
          <w:rFonts w:ascii="宋体" w:eastAsia="宋体" w:hAnsi="宋体" w:hint="eastAsia"/>
          <w:szCs w:val="21"/>
        </w:rPr>
        <w:t>登记类别：□登记  □变更登记         编号（银行填写）：</w:t>
      </w:r>
    </w:p>
    <w:tbl>
      <w:tblPr>
        <w:tblW w:w="903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4A0"/>
      </w:tblPr>
      <w:tblGrid>
        <w:gridCol w:w="899"/>
        <w:gridCol w:w="35"/>
        <w:gridCol w:w="570"/>
        <w:gridCol w:w="141"/>
        <w:gridCol w:w="702"/>
        <w:gridCol w:w="9"/>
        <w:gridCol w:w="273"/>
        <w:gridCol w:w="55"/>
        <w:gridCol w:w="155"/>
        <w:gridCol w:w="567"/>
        <w:gridCol w:w="96"/>
        <w:gridCol w:w="188"/>
        <w:gridCol w:w="425"/>
        <w:gridCol w:w="51"/>
        <w:gridCol w:w="699"/>
        <w:gridCol w:w="6"/>
        <w:gridCol w:w="161"/>
        <w:gridCol w:w="75"/>
        <w:gridCol w:w="709"/>
        <w:gridCol w:w="175"/>
        <w:gridCol w:w="487"/>
        <w:gridCol w:w="47"/>
        <w:gridCol w:w="141"/>
        <w:gridCol w:w="709"/>
        <w:gridCol w:w="142"/>
        <w:gridCol w:w="283"/>
        <w:gridCol w:w="284"/>
        <w:gridCol w:w="946"/>
      </w:tblGrid>
      <w:tr w:rsidR="007526FD" w:rsidTr="002267D0">
        <w:trPr>
          <w:trHeight w:val="446"/>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境外上市的境内公司（以下简称境内公司）基本信息</w:t>
            </w: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ind w:left="218" w:hangingChars="104" w:hanging="218"/>
              <w:jc w:val="left"/>
              <w:rPr>
                <w:rFonts w:ascii="宋体" w:eastAsia="宋体" w:hAnsi="宋体"/>
                <w:szCs w:val="21"/>
              </w:rPr>
            </w:pPr>
            <w:r>
              <w:rPr>
                <w:rFonts w:ascii="宋体" w:eastAsia="宋体" w:hAnsi="宋体" w:hint="eastAsia"/>
                <w:szCs w:val="21"/>
              </w:rPr>
              <w:t>境内公司名称</w:t>
            </w:r>
          </w:p>
        </w:tc>
        <w:tc>
          <w:tcPr>
            <w:tcW w:w="3187" w:type="dxa"/>
            <w:gridSpan w:val="1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70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统一社会信用代码</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注册地址</w:t>
            </w:r>
          </w:p>
        </w:tc>
        <w:tc>
          <w:tcPr>
            <w:tcW w:w="3187" w:type="dxa"/>
            <w:gridSpan w:val="1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70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法定代表人</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上市地及证券交易所</w:t>
            </w:r>
          </w:p>
        </w:tc>
        <w:tc>
          <w:tcPr>
            <w:tcW w:w="3187" w:type="dxa"/>
            <w:gridSpan w:val="1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（可填写多个上市地）</w:t>
            </w:r>
          </w:p>
        </w:tc>
        <w:tc>
          <w:tcPr>
            <w:tcW w:w="170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上市时间</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证监会备案文号</w:t>
            </w:r>
          </w:p>
        </w:tc>
        <w:tc>
          <w:tcPr>
            <w:tcW w:w="6401" w:type="dxa"/>
            <w:gridSpan w:val="21"/>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证券名称</w:t>
            </w:r>
          </w:p>
        </w:tc>
        <w:tc>
          <w:tcPr>
            <w:tcW w:w="3187" w:type="dxa"/>
            <w:gridSpan w:val="1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70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证券代码</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总股数</w:t>
            </w:r>
          </w:p>
        </w:tc>
        <w:tc>
          <w:tcPr>
            <w:tcW w:w="873"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530"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总股本金额</w:t>
            </w:r>
          </w:p>
        </w:tc>
        <w:tc>
          <w:tcPr>
            <w:tcW w:w="144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039"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币种</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总股本变更原因</w:t>
            </w:r>
          </w:p>
        </w:tc>
        <w:tc>
          <w:tcPr>
            <w:tcW w:w="6401" w:type="dxa"/>
            <w:gridSpan w:val="21"/>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□增发（含超额配售、向境内特定对象发行证券购买资产）</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□回购□可转债转股</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□资本公积、盈余公积、未分配利润转增股本</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□其他</w:t>
            </w:r>
            <w:r>
              <w:rPr>
                <w:rFonts w:ascii="宋体" w:eastAsia="宋体" w:hAnsi="宋体" w:hint="eastAsia"/>
                <w:szCs w:val="21"/>
                <w:u w:val="single"/>
              </w:rPr>
              <w:t>（具体说明：）</w:t>
            </w:r>
          </w:p>
        </w:tc>
      </w:tr>
      <w:tr w:rsidR="007526FD" w:rsidTr="002267D0">
        <w:trPr>
          <w:trHeight w:val="20"/>
          <w:jc w:val="center"/>
        </w:trPr>
        <w:tc>
          <w:tcPr>
            <w:tcW w:w="262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联系人</w:t>
            </w:r>
          </w:p>
        </w:tc>
        <w:tc>
          <w:tcPr>
            <w:tcW w:w="4037" w:type="dxa"/>
            <w:gridSpan w:val="1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联系电话</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524"/>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主要境内股东的基本信息</w:t>
            </w:r>
          </w:p>
        </w:tc>
      </w:tr>
      <w:tr w:rsidR="007526FD" w:rsidTr="002267D0">
        <w:trPr>
          <w:trHeight w:val="20"/>
          <w:jc w:val="center"/>
        </w:trPr>
        <w:tc>
          <w:tcPr>
            <w:tcW w:w="2684"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482"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名称（或姓名）</w:t>
            </w:r>
          </w:p>
        </w:tc>
        <w:tc>
          <w:tcPr>
            <w:tcW w:w="182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统一社会信用代码</w:t>
            </w:r>
          </w:p>
        </w:tc>
        <w:tc>
          <w:tcPr>
            <w:tcW w:w="1526"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持股比例</w:t>
            </w: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注册地址</w:t>
            </w:r>
          </w:p>
        </w:tc>
      </w:tr>
      <w:tr w:rsidR="007526FD" w:rsidTr="002267D0">
        <w:trPr>
          <w:trHeight w:val="20"/>
          <w:jc w:val="center"/>
        </w:trPr>
        <w:tc>
          <w:tcPr>
            <w:tcW w:w="2684"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境内股东</w:t>
            </w:r>
            <w:r>
              <w:rPr>
                <w:rFonts w:ascii="宋体" w:eastAsia="宋体" w:hAnsi="宋体"/>
                <w:szCs w:val="21"/>
              </w:rPr>
              <w:t>1</w:t>
            </w:r>
          </w:p>
        </w:tc>
        <w:tc>
          <w:tcPr>
            <w:tcW w:w="1482"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82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26"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20"/>
          <w:jc w:val="center"/>
        </w:trPr>
        <w:tc>
          <w:tcPr>
            <w:tcW w:w="2684"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境内股东</w:t>
            </w:r>
            <w:r>
              <w:rPr>
                <w:rFonts w:ascii="宋体" w:eastAsia="宋体" w:hAnsi="宋体"/>
                <w:szCs w:val="21"/>
              </w:rPr>
              <w:t>2</w:t>
            </w:r>
          </w:p>
        </w:tc>
        <w:tc>
          <w:tcPr>
            <w:tcW w:w="1482"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82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26"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20"/>
          <w:jc w:val="center"/>
        </w:trPr>
        <w:tc>
          <w:tcPr>
            <w:tcW w:w="2684"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szCs w:val="21"/>
              </w:rPr>
              <w:t>……</w:t>
            </w:r>
            <w:r>
              <w:rPr>
                <w:rFonts w:ascii="宋体" w:eastAsia="宋体" w:hAnsi="宋体" w:hint="eastAsia"/>
                <w:szCs w:val="21"/>
              </w:rPr>
              <w:t>（可加行）</w:t>
            </w:r>
          </w:p>
        </w:tc>
        <w:tc>
          <w:tcPr>
            <w:tcW w:w="1482"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82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26"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513"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496"/>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发行信息</w:t>
            </w:r>
          </w:p>
        </w:tc>
      </w:tr>
      <w:tr w:rsidR="007526FD" w:rsidTr="002267D0">
        <w:trPr>
          <w:trHeight w:val="20"/>
          <w:jc w:val="center"/>
        </w:trPr>
        <w:tc>
          <w:tcPr>
            <w:tcW w:w="164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发行方式</w:t>
            </w:r>
          </w:p>
        </w:tc>
        <w:tc>
          <w:tcPr>
            <w:tcW w:w="7385" w:type="dxa"/>
            <w:gridSpan w:val="2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□首次发行□增发（含超额配售）</w:t>
            </w:r>
          </w:p>
        </w:tc>
      </w:tr>
      <w:tr w:rsidR="007526FD" w:rsidTr="002267D0">
        <w:trPr>
          <w:cantSplit/>
          <w:trHeight w:val="20"/>
          <w:jc w:val="center"/>
        </w:trPr>
        <w:tc>
          <w:tcPr>
            <w:tcW w:w="1645" w:type="dxa"/>
            <w:gridSpan w:val="4"/>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发行种类</w:t>
            </w:r>
          </w:p>
        </w:tc>
        <w:tc>
          <w:tcPr>
            <w:tcW w:w="3462" w:type="dxa"/>
            <w:gridSpan w:val="1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股票</w:t>
            </w:r>
          </w:p>
        </w:tc>
        <w:tc>
          <w:tcPr>
            <w:tcW w:w="1559" w:type="dxa"/>
            <w:gridSpan w:val="5"/>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存托凭证</w:t>
            </w:r>
          </w:p>
        </w:tc>
        <w:tc>
          <w:tcPr>
            <w:tcW w:w="2364" w:type="dxa"/>
            <w:gridSpan w:val="5"/>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其他</w:t>
            </w:r>
          </w:p>
        </w:tc>
      </w:tr>
      <w:tr w:rsidR="007526FD" w:rsidTr="002267D0">
        <w:trPr>
          <w:cantSplit/>
          <w:trHeight w:val="20"/>
          <w:jc w:val="center"/>
        </w:trPr>
        <w:tc>
          <w:tcPr>
            <w:tcW w:w="1645" w:type="dxa"/>
            <w:gridSpan w:val="4"/>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left"/>
              <w:outlineLvl w:val="0"/>
              <w:rPr>
                <w:rFonts w:ascii="宋体" w:eastAsia="宋体" w:hAnsi="宋体"/>
                <w:szCs w:val="21"/>
              </w:rPr>
            </w:pP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普通股</w:t>
            </w: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优先股</w:t>
            </w:r>
          </w:p>
        </w:tc>
        <w:tc>
          <w:tcPr>
            <w:tcW w:w="1559" w:type="dxa"/>
            <w:gridSpan w:val="5"/>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364" w:type="dxa"/>
            <w:gridSpan w:val="5"/>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20"/>
          <w:jc w:val="center"/>
        </w:trPr>
        <w:tc>
          <w:tcPr>
            <w:tcW w:w="164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名称及代码</w:t>
            </w: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364"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trHeight w:val="20"/>
          <w:jc w:val="center"/>
        </w:trPr>
        <w:tc>
          <w:tcPr>
            <w:tcW w:w="164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发行时间</w:t>
            </w: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364"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trHeight w:val="20"/>
          <w:jc w:val="center"/>
        </w:trPr>
        <w:tc>
          <w:tcPr>
            <w:tcW w:w="164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发行数量</w:t>
            </w: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364"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899" w:type="dxa"/>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实际募集资金</w:t>
            </w:r>
          </w:p>
        </w:tc>
        <w:tc>
          <w:tcPr>
            <w:tcW w:w="746"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金额</w:t>
            </w: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364"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899" w:type="dxa"/>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46"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761"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701"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559"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364" w:type="dxa"/>
            <w:gridSpan w:val="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899" w:type="dxa"/>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4208" w:type="dxa"/>
            <w:gridSpan w:val="1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jc w:val="center"/>
              <w:rPr>
                <w:rFonts w:ascii="宋体" w:eastAsia="宋体" w:hAnsi="宋体"/>
                <w:szCs w:val="21"/>
              </w:rPr>
            </w:pPr>
            <w:r>
              <w:rPr>
                <w:rFonts w:ascii="宋体" w:eastAsia="宋体" w:hAnsi="宋体" w:hint="eastAsia"/>
                <w:szCs w:val="21"/>
              </w:rPr>
              <w:t>合计金额（折美元）</w:t>
            </w:r>
          </w:p>
        </w:tc>
        <w:tc>
          <w:tcPr>
            <w:tcW w:w="3923"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left"/>
              <w:outlineLvl w:val="0"/>
              <w:rPr>
                <w:rFonts w:ascii="宋体" w:eastAsia="宋体" w:hAnsi="宋体"/>
                <w:szCs w:val="21"/>
              </w:rPr>
            </w:pPr>
          </w:p>
        </w:tc>
      </w:tr>
      <w:tr w:rsidR="007526FD" w:rsidTr="002267D0">
        <w:trPr>
          <w:trHeight w:val="480"/>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发行募集资金运用信息</w:t>
            </w:r>
          </w:p>
        </w:tc>
      </w:tr>
      <w:tr w:rsidR="007526FD" w:rsidTr="002267D0">
        <w:trPr>
          <w:cantSplit/>
          <w:trHeight w:val="20"/>
          <w:jc w:val="center"/>
        </w:trPr>
        <w:tc>
          <w:tcPr>
            <w:tcW w:w="1504" w:type="dxa"/>
            <w:gridSpan w:val="3"/>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国有股减持上缴社保基金情况</w:t>
            </w:r>
          </w:p>
        </w:tc>
        <w:tc>
          <w:tcPr>
            <w:tcW w:w="2186"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国有股东减持股数</w:t>
            </w:r>
          </w:p>
        </w:tc>
        <w:tc>
          <w:tcPr>
            <w:tcW w:w="1175"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660"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减持金额</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946" w:type="dxa"/>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186"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国有股东上缴社保基金股数</w:t>
            </w:r>
          </w:p>
        </w:tc>
        <w:tc>
          <w:tcPr>
            <w:tcW w:w="1181"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65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上缴社保基金金额</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946" w:type="dxa"/>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1504" w:type="dxa"/>
            <w:gridSpan w:val="3"/>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募集资金运用计划</w:t>
            </w:r>
          </w:p>
        </w:tc>
        <w:tc>
          <w:tcPr>
            <w:tcW w:w="1335" w:type="dxa"/>
            <w:gridSpan w:val="6"/>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留存境外</w:t>
            </w: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用途</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金额</w:t>
            </w: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币种</w:t>
            </w: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center"/>
              <w:rPr>
                <w:rFonts w:ascii="宋体" w:eastAsia="宋体" w:hAnsi="宋体"/>
                <w:szCs w:val="21"/>
              </w:rPr>
            </w:pPr>
            <w:r>
              <w:rPr>
                <w:rFonts w:ascii="宋体" w:eastAsia="宋体" w:hAnsi="宋体" w:hint="eastAsia"/>
                <w:szCs w:val="21"/>
              </w:rPr>
              <w:t>经常项下境外支付</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境外投资</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境外放款</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其他</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调回境内</w:t>
            </w:r>
          </w:p>
        </w:tc>
        <w:tc>
          <w:tcPr>
            <w:tcW w:w="1276" w:type="dxa"/>
            <w:gridSpan w:val="4"/>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center"/>
              <w:rPr>
                <w:rFonts w:ascii="宋体" w:eastAsia="宋体" w:hAnsi="宋体"/>
                <w:szCs w:val="21"/>
              </w:rPr>
            </w:pPr>
            <w:r>
              <w:rPr>
                <w:rFonts w:ascii="宋体" w:eastAsia="宋体" w:hAnsi="宋体" w:hint="eastAsia"/>
                <w:szCs w:val="21"/>
              </w:rPr>
              <w:t>调回资金</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left"/>
              <w:outlineLvl w:val="0"/>
              <w:rPr>
                <w:rFonts w:ascii="宋体" w:eastAsia="宋体" w:hAnsi="宋体"/>
                <w:szCs w:val="21"/>
              </w:rPr>
            </w:pPr>
          </w:p>
        </w:tc>
        <w:tc>
          <w:tcPr>
            <w:tcW w:w="1276" w:type="dxa"/>
            <w:gridSpan w:val="4"/>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280" w:lineRule="exact"/>
              <w:jc w:val="center"/>
              <w:outlineLvl w:val="0"/>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left"/>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center"/>
              <w:rPr>
                <w:rFonts w:ascii="宋体" w:eastAsia="宋体" w:hAnsi="宋体"/>
                <w:szCs w:val="21"/>
              </w:rPr>
            </w:pPr>
            <w:r>
              <w:rPr>
                <w:rFonts w:ascii="宋体" w:eastAsia="宋体" w:hAnsi="宋体" w:hint="eastAsia"/>
                <w:szCs w:val="21"/>
              </w:rPr>
              <w:t>折美元合计</w:t>
            </w:r>
          </w:p>
        </w:tc>
        <w:tc>
          <w:tcPr>
            <w:tcW w:w="4915" w:type="dxa"/>
            <w:gridSpan w:val="1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1335" w:type="dxa"/>
            <w:gridSpan w:val="6"/>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left"/>
              <w:outlineLvl w:val="0"/>
              <w:rPr>
                <w:rFonts w:ascii="宋体" w:eastAsia="宋体" w:hAnsi="宋体"/>
                <w:szCs w:val="21"/>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rPr>
                <w:rFonts w:ascii="宋体" w:eastAsia="宋体" w:hAnsi="宋体"/>
                <w:szCs w:val="21"/>
              </w:rPr>
            </w:pPr>
            <w:r>
              <w:rPr>
                <w:rFonts w:ascii="宋体" w:eastAsia="宋体" w:hAnsi="宋体" w:hint="eastAsia"/>
                <w:szCs w:val="21"/>
              </w:rPr>
              <w:t>其中</w:t>
            </w:r>
            <w:r>
              <w:rPr>
                <w:rFonts w:ascii="宋体" w:eastAsia="宋体" w:hAnsi="宋体"/>
                <w:szCs w:val="21"/>
              </w:rPr>
              <w:t>:</w:t>
            </w:r>
            <w:r>
              <w:rPr>
                <w:rFonts w:ascii="宋体" w:eastAsia="宋体" w:hAnsi="宋体" w:hint="eastAsia"/>
                <w:szCs w:val="21"/>
              </w:rPr>
              <w:t>结汇</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2"/>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2"/>
              <w:rPr>
                <w:rFonts w:ascii="宋体" w:eastAsia="宋体" w:hAnsi="宋体"/>
                <w:szCs w:val="21"/>
              </w:rPr>
            </w:pPr>
          </w:p>
        </w:tc>
      </w:tr>
      <w:tr w:rsidR="007526FD" w:rsidTr="002267D0">
        <w:trPr>
          <w:cantSplit/>
          <w:trHeight w:val="20"/>
          <w:jc w:val="center"/>
        </w:trPr>
        <w:tc>
          <w:tcPr>
            <w:tcW w:w="1504" w:type="dxa"/>
            <w:gridSpan w:val="3"/>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账户信息</w:t>
            </w:r>
          </w:p>
        </w:tc>
        <w:tc>
          <w:tcPr>
            <w:tcW w:w="2611"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开户银行</w:t>
            </w: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r>
              <w:rPr>
                <w:rFonts w:ascii="宋体" w:eastAsia="宋体" w:hAnsi="宋体" w:hint="eastAsia"/>
                <w:szCs w:val="21"/>
              </w:rPr>
              <w:t>资本项目结算账户账号</w:t>
            </w: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611"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611"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cantSplit/>
          <w:trHeight w:val="20"/>
          <w:jc w:val="center"/>
        </w:trPr>
        <w:tc>
          <w:tcPr>
            <w:tcW w:w="1504"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611"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340" w:lineRule="exact"/>
              <w:jc w:val="center"/>
              <w:outlineLvl w:val="0"/>
              <w:rPr>
                <w:rFonts w:ascii="宋体" w:eastAsia="宋体" w:hAnsi="宋体"/>
                <w:szCs w:val="21"/>
              </w:rPr>
            </w:pPr>
          </w:p>
        </w:tc>
      </w:tr>
      <w:tr w:rsidR="007526FD" w:rsidTr="002267D0">
        <w:trPr>
          <w:trHeight w:val="20"/>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回购境外股份信息</w:t>
            </w:r>
          </w:p>
        </w:tc>
      </w:tr>
      <w:tr w:rsidR="007526FD" w:rsidTr="002267D0">
        <w:trPr>
          <w:trHeight w:val="20"/>
          <w:jc w:val="center"/>
        </w:trPr>
        <w:tc>
          <w:tcPr>
            <w:tcW w:w="3690" w:type="dxa"/>
            <w:gridSpan w:val="1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证监会备案文号或网址（如有）</w:t>
            </w:r>
          </w:p>
        </w:tc>
        <w:tc>
          <w:tcPr>
            <w:tcW w:w="5340" w:type="dxa"/>
            <w:gridSpan w:val="1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计划</w:t>
            </w:r>
          </w:p>
        </w:tc>
        <w:tc>
          <w:tcPr>
            <w:tcW w:w="2756"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回购证券种类</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回购数量</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756"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回购金额</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回购期限</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计划使用金额</w:t>
            </w:r>
          </w:p>
        </w:tc>
        <w:tc>
          <w:tcPr>
            <w:tcW w:w="2045"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境外解决</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境内</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汇出</w:t>
            </w: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购汇</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自有外汇</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人民币</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完成</w:t>
            </w:r>
          </w:p>
          <w:p w:rsidR="007526FD" w:rsidRDefault="007526FD" w:rsidP="002267D0">
            <w:pPr>
              <w:spacing w:line="340" w:lineRule="exact"/>
              <w:jc w:val="left"/>
              <w:rPr>
                <w:rFonts w:ascii="宋体" w:eastAsia="宋体" w:hAnsi="宋体"/>
                <w:szCs w:val="21"/>
              </w:rPr>
            </w:pPr>
            <w:r>
              <w:rPr>
                <w:rFonts w:ascii="宋体" w:eastAsia="宋体" w:hAnsi="宋体" w:hint="eastAsia"/>
                <w:szCs w:val="21"/>
              </w:rPr>
              <w:t>情况</w:t>
            </w:r>
          </w:p>
        </w:tc>
        <w:tc>
          <w:tcPr>
            <w:tcW w:w="2756"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回购证券种类</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回购数量</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2756"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回购金额</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回购期限</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实际使用金额</w:t>
            </w:r>
          </w:p>
        </w:tc>
        <w:tc>
          <w:tcPr>
            <w:tcW w:w="2045" w:type="dxa"/>
            <w:gridSpan w:val="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境外解决</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境内汇出</w:t>
            </w: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购汇</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自有外汇</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711"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34"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人民币</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413" w:type="dxa"/>
            <w:gridSpan w:val="3"/>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回购剩余资金调回</w:t>
            </w:r>
          </w:p>
        </w:tc>
        <w:tc>
          <w:tcPr>
            <w:tcW w:w="1343" w:type="dxa"/>
            <w:gridSpan w:val="7"/>
            <w:vMerge w:val="restart"/>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left"/>
              <w:rPr>
                <w:rFonts w:ascii="宋体" w:eastAsia="宋体" w:hAnsi="宋体"/>
                <w:szCs w:val="21"/>
              </w:rPr>
            </w:pPr>
            <w:r>
              <w:rPr>
                <w:rFonts w:ascii="宋体" w:eastAsia="宋体" w:hAnsi="宋体" w:hint="eastAsia"/>
                <w:szCs w:val="21"/>
              </w:rPr>
              <w:t>调回资金</w:t>
            </w: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413"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43" w:type="dxa"/>
            <w:gridSpan w:val="7"/>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left"/>
              <w:rPr>
                <w:rFonts w:ascii="宋体" w:eastAsia="宋体" w:hAnsi="宋体"/>
                <w:szCs w:val="21"/>
              </w:rPr>
            </w:pPr>
          </w:p>
        </w:tc>
        <w:tc>
          <w:tcPr>
            <w:tcW w:w="2835" w:type="dxa"/>
            <w:gridSpan w:val="10"/>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币种</w:t>
            </w:r>
          </w:p>
        </w:tc>
        <w:tc>
          <w:tcPr>
            <w:tcW w:w="1230" w:type="dxa"/>
            <w:gridSpan w:val="2"/>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cantSplit/>
          <w:trHeight w:val="20"/>
          <w:jc w:val="center"/>
        </w:trPr>
        <w:tc>
          <w:tcPr>
            <w:tcW w:w="934" w:type="dxa"/>
            <w:gridSpan w:val="2"/>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1413" w:type="dxa"/>
            <w:gridSpan w:val="3"/>
            <w:vMerge/>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c>
          <w:tcPr>
            <w:tcW w:w="1343"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280" w:lineRule="exact"/>
              <w:jc w:val="left"/>
              <w:rPr>
                <w:rFonts w:ascii="宋体" w:eastAsia="宋体" w:hAnsi="宋体"/>
                <w:szCs w:val="21"/>
              </w:rPr>
            </w:pPr>
            <w:r>
              <w:rPr>
                <w:rFonts w:ascii="宋体" w:eastAsia="宋体" w:hAnsi="宋体" w:hint="eastAsia"/>
                <w:szCs w:val="21"/>
              </w:rPr>
              <w:t>折美元合计</w:t>
            </w:r>
          </w:p>
        </w:tc>
        <w:tc>
          <w:tcPr>
            <w:tcW w:w="5340" w:type="dxa"/>
            <w:gridSpan w:val="1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可转债转股信息</w:t>
            </w:r>
          </w:p>
        </w:tc>
      </w:tr>
      <w:tr w:rsidR="007526FD" w:rsidTr="002267D0">
        <w:trPr>
          <w:trHeight w:val="20"/>
          <w:jc w:val="center"/>
        </w:trPr>
        <w:tc>
          <w:tcPr>
            <w:tcW w:w="4115" w:type="dxa"/>
            <w:gridSpan w:val="13"/>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证监会备案文号或网址（如有）</w:t>
            </w:r>
          </w:p>
        </w:tc>
        <w:tc>
          <w:tcPr>
            <w:tcW w:w="4915" w:type="dxa"/>
            <w:gridSpan w:val="15"/>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p>
        </w:tc>
      </w:tr>
      <w:tr w:rsidR="007526FD" w:rsidTr="002267D0">
        <w:trPr>
          <w:trHeight w:val="20"/>
          <w:jc w:val="center"/>
        </w:trPr>
        <w:tc>
          <w:tcPr>
            <w:tcW w:w="2356"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外债登记编号</w:t>
            </w:r>
          </w:p>
        </w:tc>
        <w:tc>
          <w:tcPr>
            <w:tcW w:w="175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转换比例</w:t>
            </w: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356"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债转股前债券总数</w:t>
            </w:r>
          </w:p>
        </w:tc>
        <w:tc>
          <w:tcPr>
            <w:tcW w:w="175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债转股前总股数</w:t>
            </w: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2356"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本次转换债券数</w:t>
            </w:r>
          </w:p>
        </w:tc>
        <w:tc>
          <w:tcPr>
            <w:tcW w:w="1759" w:type="dxa"/>
            <w:gridSpan w:val="7"/>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c>
          <w:tcPr>
            <w:tcW w:w="2410" w:type="dxa"/>
            <w:gridSpan w:val="9"/>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left"/>
              <w:rPr>
                <w:rFonts w:ascii="宋体" w:eastAsia="宋体" w:hAnsi="宋体"/>
                <w:szCs w:val="21"/>
              </w:rPr>
            </w:pPr>
            <w:r>
              <w:rPr>
                <w:rFonts w:ascii="宋体" w:eastAsia="宋体" w:hAnsi="宋体" w:hint="eastAsia"/>
                <w:szCs w:val="21"/>
              </w:rPr>
              <w:t>本次转换股数</w:t>
            </w:r>
          </w:p>
        </w:tc>
        <w:tc>
          <w:tcPr>
            <w:tcW w:w="2505" w:type="dxa"/>
            <w:gridSpan w:val="6"/>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szCs w:val="21"/>
              </w:rPr>
            </w:pPr>
          </w:p>
        </w:tc>
      </w:tr>
      <w:tr w:rsidR="007526FD" w:rsidTr="002267D0">
        <w:trPr>
          <w:trHeight w:val="20"/>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340" w:lineRule="exact"/>
              <w:jc w:val="center"/>
              <w:rPr>
                <w:rFonts w:ascii="宋体" w:eastAsia="宋体" w:hAnsi="宋体"/>
                <w:b/>
                <w:szCs w:val="21"/>
              </w:rPr>
            </w:pPr>
            <w:r>
              <w:rPr>
                <w:rFonts w:ascii="宋体" w:eastAsia="宋体" w:hAnsi="宋体" w:hint="eastAsia"/>
                <w:b/>
                <w:szCs w:val="21"/>
              </w:rPr>
              <w:t>其他需要说明的信息</w:t>
            </w:r>
          </w:p>
        </w:tc>
      </w:tr>
      <w:tr w:rsidR="007526FD" w:rsidTr="002267D0">
        <w:trPr>
          <w:trHeight w:val="1798"/>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keepNext/>
              <w:keepLines/>
              <w:spacing w:line="520" w:lineRule="exact"/>
              <w:jc w:val="center"/>
              <w:outlineLvl w:val="0"/>
              <w:rPr>
                <w:rFonts w:ascii="宋体" w:eastAsia="宋体" w:hAnsi="宋体"/>
                <w:b/>
                <w:szCs w:val="21"/>
              </w:rPr>
            </w:pPr>
          </w:p>
        </w:tc>
      </w:tr>
      <w:tr w:rsidR="007526FD" w:rsidTr="002267D0">
        <w:trPr>
          <w:trHeight w:val="3106"/>
          <w:jc w:val="center"/>
        </w:trPr>
        <w:tc>
          <w:tcPr>
            <w:tcW w:w="9030" w:type="dxa"/>
            <w:gridSpan w:val="28"/>
            <w:tcBorders>
              <w:top w:val="single" w:sz="4" w:space="0" w:color="auto"/>
              <w:left w:val="single" w:sz="4" w:space="0" w:color="auto"/>
              <w:bottom w:val="single" w:sz="4" w:space="0" w:color="auto"/>
              <w:right w:val="single" w:sz="4" w:space="0" w:color="auto"/>
            </w:tcBorders>
            <w:noWrap/>
            <w:vAlign w:val="center"/>
          </w:tcPr>
          <w:p w:rsidR="007526FD" w:rsidRDefault="007526FD" w:rsidP="002267D0">
            <w:pPr>
              <w:spacing w:line="460" w:lineRule="exact"/>
              <w:ind w:firstLineChars="200" w:firstLine="422"/>
              <w:rPr>
                <w:rFonts w:ascii="宋体" w:eastAsia="宋体" w:hAnsi="宋体"/>
                <w:b/>
                <w:szCs w:val="21"/>
              </w:rPr>
            </w:pPr>
            <w:r>
              <w:rPr>
                <w:rFonts w:ascii="宋体" w:eastAsia="宋体" w:hAnsi="宋体" w:hint="eastAsia"/>
                <w:b/>
                <w:szCs w:val="21"/>
              </w:rPr>
              <w:t>本公司承诺对此登记表中由本公司填写内容的真实性负责，并承诺按照外汇管理有关规定办理相关业务，接受国家外汇管理部门的监督、管理和检查。</w:t>
            </w:r>
          </w:p>
          <w:p w:rsidR="007526FD" w:rsidRDefault="007526FD" w:rsidP="002267D0">
            <w:pPr>
              <w:keepNext/>
              <w:keepLines/>
              <w:spacing w:line="460" w:lineRule="exact"/>
              <w:jc w:val="center"/>
              <w:outlineLvl w:val="2"/>
              <w:rPr>
                <w:rFonts w:ascii="宋体" w:eastAsia="宋体" w:hAnsi="宋体"/>
                <w:b/>
                <w:szCs w:val="21"/>
              </w:rPr>
            </w:pPr>
          </w:p>
          <w:p w:rsidR="007526FD" w:rsidRDefault="007526FD" w:rsidP="002267D0">
            <w:pPr>
              <w:spacing w:line="460" w:lineRule="exact"/>
              <w:ind w:firstLineChars="950" w:firstLine="2003"/>
              <w:rPr>
                <w:rFonts w:ascii="宋体" w:eastAsia="宋体" w:hAnsi="宋体"/>
                <w:b/>
                <w:szCs w:val="21"/>
              </w:rPr>
            </w:pPr>
            <w:r>
              <w:rPr>
                <w:rFonts w:ascii="宋体" w:eastAsia="宋体" w:hAnsi="宋体" w:hint="eastAsia"/>
                <w:b/>
                <w:szCs w:val="21"/>
              </w:rPr>
              <w:t>境外上市的境内公司（名称及公章）：</w:t>
            </w:r>
          </w:p>
          <w:p w:rsidR="007526FD" w:rsidRDefault="007526FD" w:rsidP="002267D0">
            <w:pPr>
              <w:spacing w:line="460" w:lineRule="exact"/>
              <w:jc w:val="center"/>
              <w:rPr>
                <w:rFonts w:ascii="宋体" w:eastAsia="宋体" w:hAnsi="宋体"/>
                <w:b/>
                <w:szCs w:val="21"/>
              </w:rPr>
            </w:pPr>
            <w:r>
              <w:rPr>
                <w:rFonts w:ascii="宋体" w:eastAsia="宋体" w:hAnsi="宋体"/>
                <w:b/>
                <w:szCs w:val="21"/>
              </w:rPr>
              <w:t xml:space="preserve">                  年</w:t>
            </w:r>
            <w:r>
              <w:rPr>
                <w:rFonts w:ascii="宋体" w:eastAsia="宋体" w:hAnsi="宋体" w:hint="eastAsia"/>
                <w:b/>
                <w:szCs w:val="21"/>
              </w:rPr>
              <w:t xml:space="preserve">   月   日</w:t>
            </w:r>
          </w:p>
        </w:tc>
      </w:tr>
    </w:tbl>
    <w:p w:rsidR="007526FD" w:rsidRDefault="007526FD" w:rsidP="007526FD">
      <w:pPr>
        <w:rPr>
          <w:rFonts w:ascii="宋体" w:eastAsia="宋体" w:hAnsi="宋体"/>
          <w:b/>
          <w:szCs w:val="21"/>
        </w:rPr>
      </w:pPr>
      <w:r>
        <w:rPr>
          <w:rFonts w:ascii="宋体" w:eastAsia="宋体" w:hAnsi="宋体" w:hint="eastAsia"/>
          <w:b/>
          <w:szCs w:val="21"/>
        </w:rPr>
        <w:t>填表说明：</w:t>
      </w:r>
    </w:p>
    <w:p w:rsidR="007526FD" w:rsidRDefault="007526FD" w:rsidP="007526FD">
      <w:pPr>
        <w:ind w:firstLineChars="200" w:firstLine="420"/>
        <w:rPr>
          <w:rFonts w:ascii="宋体" w:eastAsia="宋体" w:hAnsi="宋体"/>
          <w:szCs w:val="21"/>
        </w:rPr>
      </w:pPr>
      <w:r>
        <w:rPr>
          <w:rFonts w:ascii="宋体" w:eastAsia="宋体" w:hAnsi="宋体" w:hint="eastAsia"/>
          <w:szCs w:val="21"/>
        </w:rPr>
        <w:t>1.境内公司填报本登记表，银行审核无误并在资本项目信息系统办理登记后，将加盖业务印章的业务登记凭证交境内公司。</w:t>
      </w:r>
    </w:p>
    <w:p w:rsidR="007526FD" w:rsidRDefault="007526FD" w:rsidP="007526FD">
      <w:pPr>
        <w:ind w:firstLineChars="200" w:firstLine="420"/>
        <w:rPr>
          <w:rFonts w:ascii="仿宋" w:eastAsia="仿宋" w:hAnsi="仿宋" w:cs="仿宋"/>
          <w:szCs w:val="21"/>
        </w:rPr>
      </w:pPr>
      <w:r>
        <w:rPr>
          <w:rFonts w:ascii="宋体" w:eastAsia="宋体" w:hAnsi="宋体" w:hint="eastAsia"/>
          <w:szCs w:val="21"/>
        </w:rPr>
        <w:t>2.若本登记表中已经银行登记确认的相关事项发生变更，境内公司申请办理变更登记时，应按照变更后的内容重新填写本登记表，并对变更内容进行标注。银行审核无误后在资本项目信息系统办理变更登记，并向境内公司出具新的加盖业务印章的业务登记凭证，同时收回原业务登记凭证。</w:t>
      </w:r>
    </w:p>
    <w:p w:rsidR="007526FD" w:rsidRDefault="007526FD" w:rsidP="007526FD">
      <w:pPr>
        <w:pStyle w:val="BodyTextFirstIndent21"/>
        <w:spacing w:line="240" w:lineRule="auto"/>
        <w:ind w:leftChars="0" w:left="0" w:firstLineChars="0" w:firstLine="0"/>
        <w:rPr>
          <w:sz w:val="21"/>
          <w:szCs w:val="21"/>
        </w:rPr>
      </w:pPr>
    </w:p>
    <w:p w:rsidR="007526FD" w:rsidRDefault="007526FD" w:rsidP="007526FD">
      <w:pPr>
        <w:pStyle w:val="BodyTextFirstIndent21"/>
        <w:spacing w:line="240" w:lineRule="auto"/>
        <w:ind w:leftChars="0" w:left="0" w:firstLineChars="0" w:firstLine="0"/>
        <w:rPr>
          <w:sz w:val="21"/>
          <w:szCs w:val="21"/>
        </w:rPr>
      </w:pPr>
    </w:p>
    <w:p w:rsidR="00CB59D9" w:rsidRPr="007526FD" w:rsidRDefault="00CB59D9"/>
    <w:sectPr w:rsidR="00CB59D9" w:rsidRPr="007526FD" w:rsidSect="00EA39A9">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A9" w:rsidRDefault="007526FD">
    <w:pPr>
      <w:pStyle w:val="a3"/>
      <w:jc w:val="center"/>
      <w:rPr>
        <w:rFonts w:hint="default"/>
      </w:rPr>
    </w:pPr>
    <w:r>
      <w:fldChar w:fldCharType="begin"/>
    </w:r>
    <w:r>
      <w:instrText xml:space="preserve"> PAGE   \* MERGEFORMAT </w:instrText>
    </w:r>
    <w:r>
      <w:fldChar w:fldCharType="separate"/>
    </w:r>
    <w:r>
      <w:rPr>
        <w:rFonts w:hint="default"/>
        <w:noProof/>
      </w:rPr>
      <w:t>2</w:t>
    </w:r>
    <w:r>
      <w:fldChar w:fldCharType="end"/>
    </w:r>
  </w:p>
  <w:p w:rsidR="00EA39A9" w:rsidRDefault="007526FD">
    <w:pPr>
      <w:pStyle w:val="a3"/>
      <w:rPr>
        <w:rFonts w:hint="default"/>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9A9" w:rsidRDefault="007526FD">
    <w:pPr>
      <w:pStyle w:val="a4"/>
      <w:pBdr>
        <w:bottom w:val="none" w:sz="0" w:space="0" w:color="auto"/>
      </w:pBdr>
      <w:rPr>
        <w:rFonts w:hint="defau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26FD"/>
    <w:rsid w:val="00012955"/>
    <w:rsid w:val="000133B1"/>
    <w:rsid w:val="00027041"/>
    <w:rsid w:val="00027E2F"/>
    <w:rsid w:val="00047D26"/>
    <w:rsid w:val="00052145"/>
    <w:rsid w:val="0006311B"/>
    <w:rsid w:val="000717AE"/>
    <w:rsid w:val="0007495D"/>
    <w:rsid w:val="00081F88"/>
    <w:rsid w:val="00090B83"/>
    <w:rsid w:val="0009240C"/>
    <w:rsid w:val="00095400"/>
    <w:rsid w:val="000A332D"/>
    <w:rsid w:val="000B2CA7"/>
    <w:rsid w:val="000D0C04"/>
    <w:rsid w:val="000E51B4"/>
    <w:rsid w:val="000E64D3"/>
    <w:rsid w:val="001005C9"/>
    <w:rsid w:val="001059DD"/>
    <w:rsid w:val="00107F77"/>
    <w:rsid w:val="00126BAD"/>
    <w:rsid w:val="00126D34"/>
    <w:rsid w:val="00147004"/>
    <w:rsid w:val="00152E83"/>
    <w:rsid w:val="00155451"/>
    <w:rsid w:val="001663CA"/>
    <w:rsid w:val="00171496"/>
    <w:rsid w:val="001732DB"/>
    <w:rsid w:val="00173302"/>
    <w:rsid w:val="001768D7"/>
    <w:rsid w:val="001802E2"/>
    <w:rsid w:val="00186701"/>
    <w:rsid w:val="001A4265"/>
    <w:rsid w:val="001B3C59"/>
    <w:rsid w:val="001C63E4"/>
    <w:rsid w:val="001C68AB"/>
    <w:rsid w:val="001D0C44"/>
    <w:rsid w:val="001D1A37"/>
    <w:rsid w:val="001D23F0"/>
    <w:rsid w:val="001E0B11"/>
    <w:rsid w:val="001E3AB4"/>
    <w:rsid w:val="001E4BE6"/>
    <w:rsid w:val="001F62D4"/>
    <w:rsid w:val="00201808"/>
    <w:rsid w:val="0020608A"/>
    <w:rsid w:val="00212AFD"/>
    <w:rsid w:val="00222F4F"/>
    <w:rsid w:val="00225226"/>
    <w:rsid w:val="002359B6"/>
    <w:rsid w:val="00240FF6"/>
    <w:rsid w:val="0025359E"/>
    <w:rsid w:val="0025502D"/>
    <w:rsid w:val="002568D9"/>
    <w:rsid w:val="00263250"/>
    <w:rsid w:val="00264FAC"/>
    <w:rsid w:val="00280AD3"/>
    <w:rsid w:val="002932C2"/>
    <w:rsid w:val="002B242F"/>
    <w:rsid w:val="002B2BDB"/>
    <w:rsid w:val="002D3A12"/>
    <w:rsid w:val="002D6CC5"/>
    <w:rsid w:val="002E4FE2"/>
    <w:rsid w:val="002E6414"/>
    <w:rsid w:val="002E7F9E"/>
    <w:rsid w:val="002F2C6B"/>
    <w:rsid w:val="002F4ACD"/>
    <w:rsid w:val="002F5123"/>
    <w:rsid w:val="002F59C9"/>
    <w:rsid w:val="002F7763"/>
    <w:rsid w:val="003020A7"/>
    <w:rsid w:val="003026DE"/>
    <w:rsid w:val="00307E5D"/>
    <w:rsid w:val="003110E5"/>
    <w:rsid w:val="00313EC9"/>
    <w:rsid w:val="00377938"/>
    <w:rsid w:val="00380CBC"/>
    <w:rsid w:val="003867EA"/>
    <w:rsid w:val="003A1235"/>
    <w:rsid w:val="003A1DEB"/>
    <w:rsid w:val="003A3497"/>
    <w:rsid w:val="003A3887"/>
    <w:rsid w:val="003A5159"/>
    <w:rsid w:val="003A6791"/>
    <w:rsid w:val="003A7272"/>
    <w:rsid w:val="003A7670"/>
    <w:rsid w:val="003B048A"/>
    <w:rsid w:val="003B1FCB"/>
    <w:rsid w:val="003C0A27"/>
    <w:rsid w:val="003C2A1E"/>
    <w:rsid w:val="003D6906"/>
    <w:rsid w:val="003E0256"/>
    <w:rsid w:val="003E04D0"/>
    <w:rsid w:val="003E6E67"/>
    <w:rsid w:val="003E7E80"/>
    <w:rsid w:val="003F0F2A"/>
    <w:rsid w:val="003F0F4B"/>
    <w:rsid w:val="003F7450"/>
    <w:rsid w:val="00403D93"/>
    <w:rsid w:val="00411BA3"/>
    <w:rsid w:val="00413F01"/>
    <w:rsid w:val="00416D89"/>
    <w:rsid w:val="0043287D"/>
    <w:rsid w:val="00435730"/>
    <w:rsid w:val="004415E4"/>
    <w:rsid w:val="0044225C"/>
    <w:rsid w:val="00442DB5"/>
    <w:rsid w:val="00446814"/>
    <w:rsid w:val="00452436"/>
    <w:rsid w:val="004538B0"/>
    <w:rsid w:val="0045731A"/>
    <w:rsid w:val="00464886"/>
    <w:rsid w:val="00467574"/>
    <w:rsid w:val="004736A9"/>
    <w:rsid w:val="00473B3F"/>
    <w:rsid w:val="00482BFE"/>
    <w:rsid w:val="0048459A"/>
    <w:rsid w:val="00490580"/>
    <w:rsid w:val="00493C6D"/>
    <w:rsid w:val="0049546D"/>
    <w:rsid w:val="004B012E"/>
    <w:rsid w:val="004C15BC"/>
    <w:rsid w:val="004C7B15"/>
    <w:rsid w:val="004D488A"/>
    <w:rsid w:val="004D66F4"/>
    <w:rsid w:val="004D758D"/>
    <w:rsid w:val="004D7814"/>
    <w:rsid w:val="004E151D"/>
    <w:rsid w:val="004F3C66"/>
    <w:rsid w:val="004F66D9"/>
    <w:rsid w:val="00500140"/>
    <w:rsid w:val="00500B20"/>
    <w:rsid w:val="00501432"/>
    <w:rsid w:val="0050648A"/>
    <w:rsid w:val="0051367A"/>
    <w:rsid w:val="00516642"/>
    <w:rsid w:val="00521E17"/>
    <w:rsid w:val="00522E37"/>
    <w:rsid w:val="00523F69"/>
    <w:rsid w:val="00531382"/>
    <w:rsid w:val="00532016"/>
    <w:rsid w:val="00532BB2"/>
    <w:rsid w:val="005361A2"/>
    <w:rsid w:val="00537380"/>
    <w:rsid w:val="00545CE3"/>
    <w:rsid w:val="00570EB9"/>
    <w:rsid w:val="00574FFF"/>
    <w:rsid w:val="005812A7"/>
    <w:rsid w:val="0058352D"/>
    <w:rsid w:val="00596575"/>
    <w:rsid w:val="005975FF"/>
    <w:rsid w:val="00597D5F"/>
    <w:rsid w:val="005A0DF2"/>
    <w:rsid w:val="005A667C"/>
    <w:rsid w:val="005A718E"/>
    <w:rsid w:val="005B2D6D"/>
    <w:rsid w:val="005C368A"/>
    <w:rsid w:val="005E1EB7"/>
    <w:rsid w:val="005F1AC9"/>
    <w:rsid w:val="0060788A"/>
    <w:rsid w:val="006128AF"/>
    <w:rsid w:val="006266D6"/>
    <w:rsid w:val="00641CD4"/>
    <w:rsid w:val="006470CA"/>
    <w:rsid w:val="006473E3"/>
    <w:rsid w:val="0065287F"/>
    <w:rsid w:val="00666F92"/>
    <w:rsid w:val="0067010F"/>
    <w:rsid w:val="00677DF1"/>
    <w:rsid w:val="006805F0"/>
    <w:rsid w:val="0068704D"/>
    <w:rsid w:val="006C2F43"/>
    <w:rsid w:val="006C637C"/>
    <w:rsid w:val="006C6A36"/>
    <w:rsid w:val="006D0600"/>
    <w:rsid w:val="006F6D8D"/>
    <w:rsid w:val="006F6F1C"/>
    <w:rsid w:val="00706B3F"/>
    <w:rsid w:val="007150FB"/>
    <w:rsid w:val="00741640"/>
    <w:rsid w:val="00741F67"/>
    <w:rsid w:val="007526FD"/>
    <w:rsid w:val="00770108"/>
    <w:rsid w:val="00771927"/>
    <w:rsid w:val="00786C4F"/>
    <w:rsid w:val="007872D3"/>
    <w:rsid w:val="00795D16"/>
    <w:rsid w:val="007B438C"/>
    <w:rsid w:val="007C0414"/>
    <w:rsid w:val="007C3CBA"/>
    <w:rsid w:val="007C4048"/>
    <w:rsid w:val="007D20BE"/>
    <w:rsid w:val="007E1F00"/>
    <w:rsid w:val="007F1B00"/>
    <w:rsid w:val="00804792"/>
    <w:rsid w:val="00806E14"/>
    <w:rsid w:val="0082273B"/>
    <w:rsid w:val="008245CF"/>
    <w:rsid w:val="008309A7"/>
    <w:rsid w:val="00833C89"/>
    <w:rsid w:val="00845BC0"/>
    <w:rsid w:val="00851020"/>
    <w:rsid w:val="00854AC1"/>
    <w:rsid w:val="008606BD"/>
    <w:rsid w:val="00877D2F"/>
    <w:rsid w:val="00883831"/>
    <w:rsid w:val="00883DA7"/>
    <w:rsid w:val="00890283"/>
    <w:rsid w:val="008925FA"/>
    <w:rsid w:val="00897B45"/>
    <w:rsid w:val="008A05FE"/>
    <w:rsid w:val="008B2BA7"/>
    <w:rsid w:val="008B63E5"/>
    <w:rsid w:val="008D433A"/>
    <w:rsid w:val="008D55CC"/>
    <w:rsid w:val="008E4F48"/>
    <w:rsid w:val="008E5F66"/>
    <w:rsid w:val="008E65E8"/>
    <w:rsid w:val="008F1F5F"/>
    <w:rsid w:val="008F522E"/>
    <w:rsid w:val="008F7029"/>
    <w:rsid w:val="008F7838"/>
    <w:rsid w:val="009000B2"/>
    <w:rsid w:val="00900647"/>
    <w:rsid w:val="00901769"/>
    <w:rsid w:val="00907626"/>
    <w:rsid w:val="00921209"/>
    <w:rsid w:val="00931277"/>
    <w:rsid w:val="0095621F"/>
    <w:rsid w:val="009727DB"/>
    <w:rsid w:val="00980EE6"/>
    <w:rsid w:val="00991F42"/>
    <w:rsid w:val="009974DB"/>
    <w:rsid w:val="009E3BB3"/>
    <w:rsid w:val="009E6A29"/>
    <w:rsid w:val="009F0310"/>
    <w:rsid w:val="009F0583"/>
    <w:rsid w:val="00A00979"/>
    <w:rsid w:val="00A03C83"/>
    <w:rsid w:val="00A052B4"/>
    <w:rsid w:val="00A11EB3"/>
    <w:rsid w:val="00A148ED"/>
    <w:rsid w:val="00A26714"/>
    <w:rsid w:val="00A276B6"/>
    <w:rsid w:val="00A503B1"/>
    <w:rsid w:val="00A66141"/>
    <w:rsid w:val="00A752B9"/>
    <w:rsid w:val="00A96F34"/>
    <w:rsid w:val="00AA1F6E"/>
    <w:rsid w:val="00AA32A8"/>
    <w:rsid w:val="00AA4092"/>
    <w:rsid w:val="00AB15EF"/>
    <w:rsid w:val="00AB5AC3"/>
    <w:rsid w:val="00AD07F4"/>
    <w:rsid w:val="00AD5B3F"/>
    <w:rsid w:val="00AD6EAC"/>
    <w:rsid w:val="00AE1D1C"/>
    <w:rsid w:val="00AF40F9"/>
    <w:rsid w:val="00AF587D"/>
    <w:rsid w:val="00B11E76"/>
    <w:rsid w:val="00B23C28"/>
    <w:rsid w:val="00B3486E"/>
    <w:rsid w:val="00B3551D"/>
    <w:rsid w:val="00B502E8"/>
    <w:rsid w:val="00B51502"/>
    <w:rsid w:val="00B569F9"/>
    <w:rsid w:val="00B6077F"/>
    <w:rsid w:val="00B671D9"/>
    <w:rsid w:val="00B67D48"/>
    <w:rsid w:val="00B87A48"/>
    <w:rsid w:val="00BC700C"/>
    <w:rsid w:val="00BD041B"/>
    <w:rsid w:val="00BD4D2A"/>
    <w:rsid w:val="00BE23D7"/>
    <w:rsid w:val="00BE309F"/>
    <w:rsid w:val="00BE5CF4"/>
    <w:rsid w:val="00BF4633"/>
    <w:rsid w:val="00BF4990"/>
    <w:rsid w:val="00BF4B7D"/>
    <w:rsid w:val="00BF6F57"/>
    <w:rsid w:val="00C0085A"/>
    <w:rsid w:val="00C01165"/>
    <w:rsid w:val="00C01376"/>
    <w:rsid w:val="00C048F4"/>
    <w:rsid w:val="00C05F11"/>
    <w:rsid w:val="00C1060B"/>
    <w:rsid w:val="00C1109D"/>
    <w:rsid w:val="00C12D97"/>
    <w:rsid w:val="00C15DE5"/>
    <w:rsid w:val="00C17C3A"/>
    <w:rsid w:val="00C17FBB"/>
    <w:rsid w:val="00C22B40"/>
    <w:rsid w:val="00C3618A"/>
    <w:rsid w:val="00C37B4B"/>
    <w:rsid w:val="00C43DB0"/>
    <w:rsid w:val="00C45D44"/>
    <w:rsid w:val="00C46330"/>
    <w:rsid w:val="00C60CF9"/>
    <w:rsid w:val="00C80CA3"/>
    <w:rsid w:val="00C84922"/>
    <w:rsid w:val="00C93923"/>
    <w:rsid w:val="00C94403"/>
    <w:rsid w:val="00CB44FE"/>
    <w:rsid w:val="00CB59D9"/>
    <w:rsid w:val="00CC3504"/>
    <w:rsid w:val="00CD3563"/>
    <w:rsid w:val="00CE3084"/>
    <w:rsid w:val="00CE4FF4"/>
    <w:rsid w:val="00D008D5"/>
    <w:rsid w:val="00D10886"/>
    <w:rsid w:val="00D14E31"/>
    <w:rsid w:val="00D2055C"/>
    <w:rsid w:val="00D22440"/>
    <w:rsid w:val="00D23EC1"/>
    <w:rsid w:val="00D551C3"/>
    <w:rsid w:val="00D573C5"/>
    <w:rsid w:val="00D70480"/>
    <w:rsid w:val="00D9626F"/>
    <w:rsid w:val="00DA17F1"/>
    <w:rsid w:val="00DA5546"/>
    <w:rsid w:val="00DB0A0A"/>
    <w:rsid w:val="00DB5950"/>
    <w:rsid w:val="00DB615A"/>
    <w:rsid w:val="00DC3D97"/>
    <w:rsid w:val="00DC718A"/>
    <w:rsid w:val="00DE4917"/>
    <w:rsid w:val="00DF38CF"/>
    <w:rsid w:val="00E02DC3"/>
    <w:rsid w:val="00E17814"/>
    <w:rsid w:val="00E266BD"/>
    <w:rsid w:val="00E4127E"/>
    <w:rsid w:val="00E439AE"/>
    <w:rsid w:val="00E44D9A"/>
    <w:rsid w:val="00E452D4"/>
    <w:rsid w:val="00E476BC"/>
    <w:rsid w:val="00E56680"/>
    <w:rsid w:val="00E56FE7"/>
    <w:rsid w:val="00E601A8"/>
    <w:rsid w:val="00E6703E"/>
    <w:rsid w:val="00E851FD"/>
    <w:rsid w:val="00EA3FC1"/>
    <w:rsid w:val="00EB575B"/>
    <w:rsid w:val="00EC1E4E"/>
    <w:rsid w:val="00ED40D3"/>
    <w:rsid w:val="00ED51B3"/>
    <w:rsid w:val="00EE1F5C"/>
    <w:rsid w:val="00EE6052"/>
    <w:rsid w:val="00EE6AC0"/>
    <w:rsid w:val="00EE6B28"/>
    <w:rsid w:val="00EF10D3"/>
    <w:rsid w:val="00F11225"/>
    <w:rsid w:val="00F247E8"/>
    <w:rsid w:val="00F41417"/>
    <w:rsid w:val="00F43C6B"/>
    <w:rsid w:val="00F55212"/>
    <w:rsid w:val="00F606B7"/>
    <w:rsid w:val="00F6691A"/>
    <w:rsid w:val="00F71453"/>
    <w:rsid w:val="00F71E85"/>
    <w:rsid w:val="00F72569"/>
    <w:rsid w:val="00F83431"/>
    <w:rsid w:val="00FB23B5"/>
    <w:rsid w:val="00FC594E"/>
    <w:rsid w:val="00FC671D"/>
    <w:rsid w:val="00FC7321"/>
    <w:rsid w:val="00FD5F4A"/>
    <w:rsid w:val="00FE511B"/>
    <w:rsid w:val="00FF0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7526F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uiPriority w:val="99"/>
    <w:qFormat/>
    <w:rsid w:val="007526FD"/>
    <w:pPr>
      <w:spacing w:after="120" w:line="340" w:lineRule="exact"/>
      <w:ind w:leftChars="200" w:left="420" w:right="-139" w:hangingChars="26" w:hanging="26"/>
    </w:pPr>
    <w:rPr>
      <w:rFonts w:ascii="华文中宋" w:eastAsia="华文中宋" w:hAnsi="华文中宋" w:cs="华文中宋"/>
      <w:sz w:val="24"/>
    </w:rPr>
  </w:style>
  <w:style w:type="paragraph" w:styleId="a3">
    <w:name w:val="footer"/>
    <w:basedOn w:val="a"/>
    <w:link w:val="Char"/>
    <w:uiPriority w:val="99"/>
    <w:unhideWhenUsed/>
    <w:qFormat/>
    <w:rsid w:val="007526FD"/>
    <w:pPr>
      <w:tabs>
        <w:tab w:val="center" w:pos="4153"/>
        <w:tab w:val="right" w:pos="8306"/>
      </w:tabs>
      <w:snapToGrid w:val="0"/>
      <w:jc w:val="left"/>
    </w:pPr>
    <w:rPr>
      <w:rFonts w:hint="eastAsia"/>
      <w:sz w:val="18"/>
    </w:rPr>
  </w:style>
  <w:style w:type="character" w:customStyle="1" w:styleId="Char">
    <w:name w:val="页脚 Char"/>
    <w:basedOn w:val="a0"/>
    <w:link w:val="a3"/>
    <w:uiPriority w:val="99"/>
    <w:rsid w:val="007526FD"/>
    <w:rPr>
      <w:sz w:val="18"/>
      <w:szCs w:val="24"/>
    </w:rPr>
  </w:style>
  <w:style w:type="paragraph" w:styleId="a4">
    <w:name w:val="header"/>
    <w:basedOn w:val="a"/>
    <w:link w:val="Char0"/>
    <w:unhideWhenUsed/>
    <w:qFormat/>
    <w:rsid w:val="007526FD"/>
    <w:pPr>
      <w:pBdr>
        <w:bottom w:val="single" w:sz="6" w:space="1" w:color="auto"/>
      </w:pBdr>
      <w:tabs>
        <w:tab w:val="center" w:pos="4153"/>
        <w:tab w:val="right" w:pos="8306"/>
      </w:tabs>
      <w:snapToGrid w:val="0"/>
      <w:jc w:val="center"/>
    </w:pPr>
    <w:rPr>
      <w:rFonts w:hint="eastAsia"/>
      <w:sz w:val="18"/>
    </w:rPr>
  </w:style>
  <w:style w:type="character" w:customStyle="1" w:styleId="Char0">
    <w:name w:val="页眉 Char"/>
    <w:basedOn w:val="a0"/>
    <w:link w:val="a4"/>
    <w:rsid w:val="007526FD"/>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2024-04-25T07:14:00Z</dcterms:created>
  <dcterms:modified xsi:type="dcterms:W3CDTF">2024-04-25T07:16:00Z</dcterms:modified>
</cp:coreProperties>
</file>