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EE4" w:rsidRPr="008F7EE4" w:rsidRDefault="008F7EE4" w:rsidP="008F7EE4">
      <w:pPr>
        <w:widowControl/>
        <w:spacing w:line="540" w:lineRule="atLeast"/>
        <w:jc w:val="center"/>
        <w:rPr>
          <w:rFonts w:ascii="微软雅黑" w:eastAsia="微软雅黑" w:hAnsi="微软雅黑" w:cs="宋体"/>
          <w:b/>
          <w:bCs/>
          <w:color w:val="0578C4"/>
          <w:kern w:val="0"/>
          <w:sz w:val="27"/>
          <w:szCs w:val="27"/>
        </w:rPr>
      </w:pPr>
      <w:r w:rsidRPr="008F7EE4">
        <w:rPr>
          <w:rFonts w:ascii="微软雅黑" w:eastAsia="微软雅黑" w:hAnsi="微软雅黑" w:cs="宋体" w:hint="eastAsia"/>
          <w:b/>
          <w:bCs/>
          <w:color w:val="0578C4"/>
          <w:kern w:val="0"/>
          <w:sz w:val="27"/>
          <w:szCs w:val="27"/>
        </w:rPr>
        <w:t>国家外汇管理局关于支持贸易新业态发展的通知</w:t>
      </w:r>
    </w:p>
    <w:p w:rsidR="008F7EE4" w:rsidRPr="008F7EE4" w:rsidRDefault="008F7EE4" w:rsidP="008F7EE4">
      <w:pPr>
        <w:widowControl/>
        <w:spacing w:line="555" w:lineRule="atLeast"/>
        <w:jc w:val="left"/>
        <w:rPr>
          <w:rFonts w:ascii="Times New Roman" w:eastAsia="宋体" w:hAnsi="Times New Roman" w:cs="Times New Roman" w:hint="eastAsia"/>
          <w:color w:val="000000"/>
          <w:kern w:val="0"/>
          <w:sz w:val="30"/>
          <w:szCs w:val="30"/>
        </w:rPr>
      </w:pPr>
      <w:r w:rsidRPr="008F7EE4">
        <w:rPr>
          <w:rFonts w:ascii="仿宋_GB2312" w:eastAsia="仿宋_GB2312" w:hAnsi="Times New Roman" w:cs="Times New Roman" w:hint="eastAsia"/>
          <w:color w:val="000000"/>
          <w:kern w:val="0"/>
          <w:sz w:val="30"/>
          <w:szCs w:val="30"/>
          <w:bdr w:val="none" w:sz="0" w:space="0" w:color="auto" w:frame="1"/>
        </w:rPr>
        <w:t>国家外汇管理局各省、自治区、直辖市分局、外汇管理部，深圳、大连、青岛、厦门、宁波市分局；各全国性中资银行：</w:t>
      </w:r>
    </w:p>
    <w:p w:rsidR="008F7EE4" w:rsidRPr="008F7EE4" w:rsidRDefault="008F7EE4" w:rsidP="008F7EE4">
      <w:pPr>
        <w:widowControl/>
        <w:spacing w:line="555" w:lineRule="atLeast"/>
        <w:ind w:firstLine="600"/>
        <w:rPr>
          <w:rFonts w:ascii="Times New Roman" w:eastAsia="宋体" w:hAnsi="Times New Roman" w:cs="Times New Roman"/>
          <w:color w:val="000000"/>
          <w:kern w:val="0"/>
          <w:sz w:val="30"/>
          <w:szCs w:val="30"/>
        </w:rPr>
      </w:pPr>
      <w:r w:rsidRPr="008F7EE4">
        <w:rPr>
          <w:rFonts w:ascii="仿宋_GB2312" w:eastAsia="仿宋_GB2312" w:hAnsi="Times New Roman" w:cs="Times New Roman" w:hint="eastAsia"/>
          <w:color w:val="000000"/>
          <w:kern w:val="0"/>
          <w:sz w:val="30"/>
          <w:szCs w:val="30"/>
          <w:bdr w:val="none" w:sz="0" w:space="0" w:color="auto" w:frame="1"/>
        </w:rPr>
        <w:t>为促进外贸提质增效，加快跨境电子商务等贸易新业态发展，提高贸易外汇收支便利化水平，现就有关事项通知如下：</w:t>
      </w:r>
    </w:p>
    <w:p w:rsidR="008F7EE4" w:rsidRPr="008F7EE4" w:rsidRDefault="008F7EE4" w:rsidP="008F7EE4">
      <w:pPr>
        <w:widowControl/>
        <w:spacing w:line="555" w:lineRule="atLeast"/>
        <w:ind w:firstLine="600"/>
        <w:rPr>
          <w:rFonts w:ascii="Times New Roman" w:eastAsia="宋体" w:hAnsi="Times New Roman" w:cs="Times New Roman"/>
          <w:color w:val="000000"/>
          <w:kern w:val="0"/>
          <w:sz w:val="30"/>
          <w:szCs w:val="30"/>
        </w:rPr>
      </w:pPr>
      <w:r w:rsidRPr="008F7EE4">
        <w:rPr>
          <w:rFonts w:ascii="仿宋_GB2312" w:eastAsia="仿宋_GB2312" w:hAnsi="Times New Roman" w:cs="Times New Roman" w:hint="eastAsia"/>
          <w:color w:val="000000"/>
          <w:kern w:val="0"/>
          <w:sz w:val="30"/>
          <w:szCs w:val="30"/>
          <w:bdr w:val="none" w:sz="0" w:space="0" w:color="auto" w:frame="1"/>
        </w:rPr>
        <w:t>一、在满足客户身份识别、交易电子信息采集、真实性审核等条件下，银行可按照《国家外汇管理局关于印发〈支付机构外汇业务管理办法〉的通知》（汇发〔</w:t>
      </w:r>
      <w:r w:rsidRPr="008F7EE4">
        <w:rPr>
          <w:rFonts w:ascii="Times New Roman" w:eastAsia="宋体" w:hAnsi="Times New Roman" w:cs="Times New Roman"/>
          <w:color w:val="000000"/>
          <w:kern w:val="0"/>
          <w:sz w:val="30"/>
          <w:szCs w:val="30"/>
          <w:bdr w:val="none" w:sz="0" w:space="0" w:color="auto" w:frame="1"/>
        </w:rPr>
        <w:t>2019</w:t>
      </w:r>
      <w:r w:rsidRPr="008F7EE4">
        <w:rPr>
          <w:rFonts w:ascii="仿宋_GB2312" w:eastAsia="仿宋_GB2312" w:hAnsi="Times New Roman" w:cs="Times New Roman" w:hint="eastAsia"/>
          <w:color w:val="000000"/>
          <w:kern w:val="0"/>
          <w:sz w:val="30"/>
          <w:szCs w:val="30"/>
          <w:bdr w:val="none" w:sz="0" w:space="0" w:color="auto" w:frame="1"/>
        </w:rPr>
        <w:t>〕</w:t>
      </w:r>
      <w:r w:rsidRPr="008F7EE4">
        <w:rPr>
          <w:rFonts w:ascii="Times New Roman" w:eastAsia="宋体" w:hAnsi="Times New Roman" w:cs="Times New Roman"/>
          <w:color w:val="000000"/>
          <w:kern w:val="0"/>
          <w:sz w:val="30"/>
          <w:szCs w:val="30"/>
          <w:bdr w:val="none" w:sz="0" w:space="0" w:color="auto" w:frame="1"/>
        </w:rPr>
        <w:t>13</w:t>
      </w:r>
      <w:r w:rsidRPr="008F7EE4">
        <w:rPr>
          <w:rFonts w:ascii="仿宋_GB2312" w:eastAsia="仿宋_GB2312" w:hAnsi="Times New Roman" w:cs="Times New Roman" w:hint="eastAsia"/>
          <w:color w:val="000000"/>
          <w:kern w:val="0"/>
          <w:sz w:val="30"/>
          <w:szCs w:val="30"/>
          <w:bdr w:val="none" w:sz="0" w:space="0" w:color="auto" w:frame="1"/>
        </w:rPr>
        <w:t>号），申请凭交易电子信息为跨境电子商务和外贸综合服务等贸易新业态市场主体提供结售汇及相关资金收付服务，支付机构可凭交易电子信息为跨境电子商务市场主体提供结售汇及相关资金收付服务。</w:t>
      </w:r>
    </w:p>
    <w:p w:rsidR="008F7EE4" w:rsidRPr="008F7EE4" w:rsidRDefault="008F7EE4" w:rsidP="008F7EE4">
      <w:pPr>
        <w:widowControl/>
        <w:spacing w:line="555" w:lineRule="atLeast"/>
        <w:ind w:firstLine="600"/>
        <w:rPr>
          <w:rFonts w:ascii="Times New Roman" w:eastAsia="宋体" w:hAnsi="Times New Roman" w:cs="Times New Roman"/>
          <w:color w:val="000000"/>
          <w:kern w:val="0"/>
          <w:sz w:val="30"/>
          <w:szCs w:val="30"/>
        </w:rPr>
      </w:pPr>
      <w:r w:rsidRPr="008F7EE4">
        <w:rPr>
          <w:rFonts w:ascii="仿宋_GB2312" w:eastAsia="仿宋_GB2312" w:hAnsi="Times New Roman" w:cs="Times New Roman" w:hint="eastAsia"/>
          <w:color w:val="000000"/>
          <w:kern w:val="0"/>
          <w:sz w:val="30"/>
          <w:szCs w:val="30"/>
          <w:bdr w:val="none" w:sz="0" w:space="0" w:color="auto" w:frame="1"/>
        </w:rPr>
        <w:t>二、从事跨境电子商务的企业可将出口货物在境外发生的仓储、物流、税收等费用与出口货款轧差结算，并按规定办理实际收付数据和还原数据申报。跨境电子商务企业出口至海外仓销售的货物，汇回的实际销售收入可与相应货物的出口报关金额不一致。跨境电子商务企业按现行货物贸易外汇管理规定报送外汇业务报告。</w:t>
      </w:r>
    </w:p>
    <w:p w:rsidR="008F7EE4" w:rsidRPr="008F7EE4" w:rsidRDefault="008F7EE4" w:rsidP="008F7EE4">
      <w:pPr>
        <w:widowControl/>
        <w:spacing w:line="555" w:lineRule="atLeast"/>
        <w:ind w:firstLine="600"/>
        <w:rPr>
          <w:rFonts w:ascii="Times New Roman" w:eastAsia="宋体" w:hAnsi="Times New Roman" w:cs="Times New Roman"/>
          <w:color w:val="000000"/>
          <w:kern w:val="0"/>
          <w:sz w:val="30"/>
          <w:szCs w:val="30"/>
        </w:rPr>
      </w:pPr>
      <w:r w:rsidRPr="008F7EE4">
        <w:rPr>
          <w:rFonts w:ascii="仿宋_GB2312" w:eastAsia="仿宋_GB2312" w:hAnsi="Times New Roman" w:cs="Times New Roman" w:hint="eastAsia"/>
          <w:color w:val="000000"/>
          <w:kern w:val="0"/>
          <w:sz w:val="30"/>
          <w:szCs w:val="30"/>
          <w:bdr w:val="none" w:sz="0" w:space="0" w:color="auto" w:frame="1"/>
        </w:rPr>
        <w:t>三、境内国际寄递企业、物流企业、跨境电子商务平台企业，可为客户代垫与跨境电子商务相关的境外仓储、物流、税收等费用，代垫期限原则上不得超过</w:t>
      </w:r>
      <w:r w:rsidRPr="008F7EE4">
        <w:rPr>
          <w:rFonts w:ascii="Times New Roman" w:eastAsia="宋体" w:hAnsi="Times New Roman" w:cs="Times New Roman"/>
          <w:color w:val="000000"/>
          <w:kern w:val="0"/>
          <w:sz w:val="30"/>
          <w:szCs w:val="30"/>
          <w:bdr w:val="none" w:sz="0" w:space="0" w:color="auto" w:frame="1"/>
        </w:rPr>
        <w:t>12</w:t>
      </w:r>
      <w:r w:rsidRPr="008F7EE4">
        <w:rPr>
          <w:rFonts w:ascii="仿宋_GB2312" w:eastAsia="仿宋_GB2312" w:hAnsi="Times New Roman" w:cs="Times New Roman" w:hint="eastAsia"/>
          <w:color w:val="000000"/>
          <w:kern w:val="0"/>
          <w:sz w:val="30"/>
          <w:szCs w:val="30"/>
          <w:bdr w:val="none" w:sz="0" w:space="0" w:color="auto" w:frame="1"/>
        </w:rPr>
        <w:t>个月。涉及非关联企业代垫或代垫期限超过</w:t>
      </w:r>
      <w:r w:rsidRPr="008F7EE4">
        <w:rPr>
          <w:rFonts w:ascii="Times New Roman" w:eastAsia="宋体" w:hAnsi="Times New Roman" w:cs="Times New Roman"/>
          <w:color w:val="000000"/>
          <w:kern w:val="0"/>
          <w:sz w:val="30"/>
          <w:szCs w:val="30"/>
          <w:bdr w:val="none" w:sz="0" w:space="0" w:color="auto" w:frame="1"/>
        </w:rPr>
        <w:t>12</w:t>
      </w:r>
      <w:r w:rsidRPr="008F7EE4">
        <w:rPr>
          <w:rFonts w:ascii="仿宋_GB2312" w:eastAsia="仿宋_GB2312" w:hAnsi="Times New Roman" w:cs="Times New Roman" w:hint="eastAsia"/>
          <w:color w:val="000000"/>
          <w:kern w:val="0"/>
          <w:sz w:val="30"/>
          <w:szCs w:val="30"/>
          <w:bdr w:val="none" w:sz="0" w:space="0" w:color="auto" w:frame="1"/>
        </w:rPr>
        <w:t>个月的，应按规定报备所在地外汇局。</w:t>
      </w:r>
    </w:p>
    <w:p w:rsidR="008F7EE4" w:rsidRPr="008F7EE4" w:rsidRDefault="008F7EE4" w:rsidP="008F7EE4">
      <w:pPr>
        <w:widowControl/>
        <w:spacing w:line="555" w:lineRule="atLeast"/>
        <w:ind w:firstLine="600"/>
        <w:rPr>
          <w:rFonts w:ascii="Times New Roman" w:eastAsia="宋体" w:hAnsi="Times New Roman" w:cs="Times New Roman"/>
          <w:color w:val="000000"/>
          <w:kern w:val="0"/>
          <w:sz w:val="30"/>
          <w:szCs w:val="30"/>
        </w:rPr>
      </w:pPr>
      <w:r w:rsidRPr="008F7EE4">
        <w:rPr>
          <w:rFonts w:ascii="仿宋_GB2312" w:eastAsia="仿宋_GB2312" w:hAnsi="Times New Roman" w:cs="Times New Roman" w:hint="eastAsia"/>
          <w:color w:val="000000"/>
          <w:kern w:val="0"/>
          <w:sz w:val="30"/>
          <w:szCs w:val="30"/>
          <w:bdr w:val="none" w:sz="0" w:space="0" w:color="auto" w:frame="1"/>
        </w:rPr>
        <w:lastRenderedPageBreak/>
        <w:t>四、从事跨境电子商务的境内个人，可通过个人外汇账户办理跨境电子商务外汇结算。境内个人办理跨境电子商务项下结售汇，提供有交易额的证明材料或交易电子信息的，不占用个人年度便利化额度。</w:t>
      </w:r>
    </w:p>
    <w:p w:rsidR="008F7EE4" w:rsidRPr="008F7EE4" w:rsidRDefault="008F7EE4" w:rsidP="008F7EE4">
      <w:pPr>
        <w:widowControl/>
        <w:spacing w:line="555" w:lineRule="atLeast"/>
        <w:ind w:firstLine="600"/>
        <w:rPr>
          <w:rFonts w:ascii="Times New Roman" w:eastAsia="宋体" w:hAnsi="Times New Roman" w:cs="Times New Roman"/>
          <w:color w:val="000000"/>
          <w:kern w:val="0"/>
          <w:sz w:val="30"/>
          <w:szCs w:val="30"/>
        </w:rPr>
      </w:pPr>
      <w:r w:rsidRPr="008F7EE4">
        <w:rPr>
          <w:rFonts w:ascii="仿宋_GB2312" w:eastAsia="仿宋_GB2312" w:hAnsi="Times New Roman" w:cs="Times New Roman" w:hint="eastAsia"/>
          <w:color w:val="000000"/>
          <w:kern w:val="0"/>
          <w:sz w:val="30"/>
          <w:szCs w:val="30"/>
          <w:bdr w:val="none" w:sz="0" w:space="0" w:color="auto" w:frame="1"/>
        </w:rPr>
        <w:t>五、市场采购贸易项下委托第三方报关出口的市场主体，具备以下条件的，可以自身名义办理收汇：</w:t>
      </w:r>
    </w:p>
    <w:p w:rsidR="008F7EE4" w:rsidRPr="008F7EE4" w:rsidRDefault="008F7EE4" w:rsidP="008F7EE4">
      <w:pPr>
        <w:widowControl/>
        <w:spacing w:line="555" w:lineRule="atLeast"/>
        <w:ind w:firstLine="600"/>
        <w:rPr>
          <w:rFonts w:ascii="Times New Roman" w:eastAsia="宋体" w:hAnsi="Times New Roman" w:cs="Times New Roman"/>
          <w:color w:val="000000"/>
          <w:kern w:val="0"/>
          <w:sz w:val="30"/>
          <w:szCs w:val="30"/>
        </w:rPr>
      </w:pPr>
      <w:r w:rsidRPr="008F7EE4">
        <w:rPr>
          <w:rFonts w:ascii="仿宋_GB2312" w:eastAsia="仿宋_GB2312" w:hAnsi="Times New Roman" w:cs="Times New Roman" w:hint="eastAsia"/>
          <w:color w:val="000000"/>
          <w:kern w:val="0"/>
          <w:sz w:val="30"/>
          <w:szCs w:val="30"/>
          <w:bdr w:val="none" w:sz="0" w:space="0" w:color="auto" w:frame="1"/>
        </w:rPr>
        <w:t>（一）从事市场采购贸易的市场主体已在地方政府市场采购贸易联网平台（以下简称市场采购贸易平台）备案。市场采购贸易平台应能采集交易、出口全流程信息，并提供与企业、个体工商户对应的出口明细数据。</w:t>
      </w:r>
    </w:p>
    <w:p w:rsidR="008F7EE4" w:rsidRPr="008F7EE4" w:rsidRDefault="008F7EE4" w:rsidP="008F7EE4">
      <w:pPr>
        <w:widowControl/>
        <w:spacing w:line="555" w:lineRule="atLeast"/>
        <w:ind w:firstLine="600"/>
        <w:rPr>
          <w:rFonts w:ascii="Times New Roman" w:eastAsia="宋体" w:hAnsi="Times New Roman" w:cs="Times New Roman"/>
          <w:color w:val="000000"/>
          <w:kern w:val="0"/>
          <w:sz w:val="30"/>
          <w:szCs w:val="30"/>
        </w:rPr>
      </w:pPr>
      <w:r w:rsidRPr="008F7EE4">
        <w:rPr>
          <w:rFonts w:ascii="仿宋_GB2312" w:eastAsia="仿宋_GB2312" w:hAnsi="Times New Roman" w:cs="Times New Roman" w:hint="eastAsia"/>
          <w:color w:val="000000"/>
          <w:kern w:val="0"/>
          <w:sz w:val="30"/>
          <w:szCs w:val="30"/>
          <w:bdr w:val="none" w:sz="0" w:space="0" w:color="auto" w:frame="1"/>
        </w:rPr>
        <w:t>（二）经办银行具备接收、存储交易信息的技术条件，系统与市场采购贸易平台对接，采取必要的技术手段，识别客户身份，审核交易背景的真实性，防范交易信息重复使用。</w:t>
      </w:r>
    </w:p>
    <w:p w:rsidR="008F7EE4" w:rsidRPr="008F7EE4" w:rsidRDefault="008F7EE4" w:rsidP="008F7EE4">
      <w:pPr>
        <w:widowControl/>
        <w:spacing w:line="555" w:lineRule="atLeast"/>
        <w:ind w:firstLine="600"/>
        <w:rPr>
          <w:rFonts w:ascii="Times New Roman" w:eastAsia="宋体" w:hAnsi="Times New Roman" w:cs="Times New Roman"/>
          <w:color w:val="000000"/>
          <w:kern w:val="0"/>
          <w:sz w:val="30"/>
          <w:szCs w:val="30"/>
        </w:rPr>
      </w:pPr>
      <w:r w:rsidRPr="008F7EE4">
        <w:rPr>
          <w:rFonts w:ascii="仿宋_GB2312" w:eastAsia="仿宋_GB2312" w:hAnsi="Times New Roman" w:cs="Times New Roman" w:hint="eastAsia"/>
          <w:color w:val="000000"/>
          <w:kern w:val="0"/>
          <w:sz w:val="30"/>
          <w:szCs w:val="30"/>
          <w:bdr w:val="none" w:sz="0" w:space="0" w:color="auto" w:frame="1"/>
        </w:rPr>
        <w:t>六、从事市场采购贸易的境内和境外个人，可通过个人外汇账户办理符合本《通知》第五条要求的市场采购贸易外汇结算。个人办理市场采购贸易项下结汇，提供有交易额的证明材料或交易电子信息的，不占用个人年度便利化额度。</w:t>
      </w:r>
    </w:p>
    <w:p w:rsidR="008F7EE4" w:rsidRPr="008F7EE4" w:rsidRDefault="008F7EE4" w:rsidP="008F7EE4">
      <w:pPr>
        <w:widowControl/>
        <w:spacing w:line="555" w:lineRule="atLeast"/>
        <w:ind w:firstLine="600"/>
        <w:rPr>
          <w:rFonts w:ascii="Times New Roman" w:eastAsia="宋体" w:hAnsi="Times New Roman" w:cs="Times New Roman"/>
          <w:color w:val="000000"/>
          <w:kern w:val="0"/>
          <w:sz w:val="30"/>
          <w:szCs w:val="30"/>
        </w:rPr>
      </w:pPr>
      <w:r w:rsidRPr="008F7EE4">
        <w:rPr>
          <w:rFonts w:ascii="仿宋_GB2312" w:eastAsia="仿宋_GB2312" w:hAnsi="Times New Roman" w:cs="Times New Roman" w:hint="eastAsia"/>
          <w:color w:val="000000"/>
          <w:kern w:val="0"/>
          <w:sz w:val="30"/>
          <w:szCs w:val="30"/>
          <w:bdr w:val="none" w:sz="0" w:space="0" w:color="auto" w:frame="1"/>
        </w:rPr>
        <w:t>七、外贸综合服务企业可根据客户委托，代办出口收汇手续。经办银行可凭外贸综合服务企业推送的交易电子信息办理出口收汇，外汇或结汇资金直接进入委托客户的账户。外贸综合服务企业和经办银行办理上述业务时，应具备以下条件：</w:t>
      </w:r>
    </w:p>
    <w:p w:rsidR="008F7EE4" w:rsidRPr="008F7EE4" w:rsidRDefault="008F7EE4" w:rsidP="008F7EE4">
      <w:pPr>
        <w:widowControl/>
        <w:spacing w:line="555" w:lineRule="atLeast"/>
        <w:ind w:firstLine="600"/>
        <w:rPr>
          <w:rFonts w:ascii="Times New Roman" w:eastAsia="宋体" w:hAnsi="Times New Roman" w:cs="Times New Roman"/>
          <w:color w:val="000000"/>
          <w:kern w:val="0"/>
          <w:sz w:val="30"/>
          <w:szCs w:val="30"/>
        </w:rPr>
      </w:pPr>
      <w:r w:rsidRPr="008F7EE4">
        <w:rPr>
          <w:rFonts w:ascii="仿宋_GB2312" w:eastAsia="仿宋_GB2312" w:hAnsi="Times New Roman" w:cs="Times New Roman" w:hint="eastAsia"/>
          <w:color w:val="000000"/>
          <w:kern w:val="0"/>
          <w:sz w:val="30"/>
          <w:szCs w:val="30"/>
          <w:bdr w:val="none" w:sz="0" w:space="0" w:color="auto" w:frame="1"/>
        </w:rPr>
        <w:t>（一）经办银行需满足本《通知》第一条的要求。</w:t>
      </w:r>
    </w:p>
    <w:p w:rsidR="008F7EE4" w:rsidRPr="008F7EE4" w:rsidRDefault="008F7EE4" w:rsidP="008F7EE4">
      <w:pPr>
        <w:widowControl/>
        <w:spacing w:line="555" w:lineRule="atLeast"/>
        <w:ind w:firstLine="600"/>
        <w:rPr>
          <w:rFonts w:ascii="Times New Roman" w:eastAsia="宋体" w:hAnsi="Times New Roman" w:cs="Times New Roman"/>
          <w:color w:val="000000"/>
          <w:kern w:val="0"/>
          <w:sz w:val="30"/>
          <w:szCs w:val="30"/>
        </w:rPr>
      </w:pPr>
      <w:r w:rsidRPr="008F7EE4">
        <w:rPr>
          <w:rFonts w:ascii="仿宋_GB2312" w:eastAsia="仿宋_GB2312" w:hAnsi="Times New Roman" w:cs="Times New Roman" w:hint="eastAsia"/>
          <w:color w:val="000000"/>
          <w:kern w:val="0"/>
          <w:sz w:val="30"/>
          <w:szCs w:val="30"/>
          <w:bdr w:val="none" w:sz="0" w:space="0" w:color="auto" w:frame="1"/>
        </w:rPr>
        <w:lastRenderedPageBreak/>
        <w:t>（二）外贸综合服务企业与委托客户签订综合服务合同（协议），并已提供报关报检、物流、退税、结算、信保等综合服务。</w:t>
      </w:r>
    </w:p>
    <w:p w:rsidR="008F7EE4" w:rsidRPr="008F7EE4" w:rsidRDefault="008F7EE4" w:rsidP="008F7EE4">
      <w:pPr>
        <w:widowControl/>
        <w:spacing w:line="555" w:lineRule="atLeast"/>
        <w:ind w:firstLine="600"/>
        <w:rPr>
          <w:rFonts w:ascii="Times New Roman" w:eastAsia="宋体" w:hAnsi="Times New Roman" w:cs="Times New Roman"/>
          <w:color w:val="000000"/>
          <w:kern w:val="0"/>
          <w:sz w:val="30"/>
          <w:szCs w:val="30"/>
        </w:rPr>
      </w:pPr>
      <w:r w:rsidRPr="008F7EE4">
        <w:rPr>
          <w:rFonts w:ascii="仿宋_GB2312" w:eastAsia="仿宋_GB2312" w:hAnsi="Times New Roman" w:cs="Times New Roman" w:hint="eastAsia"/>
          <w:color w:val="000000"/>
          <w:kern w:val="0"/>
          <w:sz w:val="30"/>
          <w:szCs w:val="30"/>
          <w:bdr w:val="none" w:sz="0" w:space="0" w:color="auto" w:frame="1"/>
        </w:rPr>
        <w:t>（三）外贸综合服务企业风险控制体系健全，具备</w:t>
      </w:r>
      <w:r w:rsidRPr="008F7EE4">
        <w:rPr>
          <w:rFonts w:ascii="Times New Roman" w:eastAsia="宋体" w:hAnsi="Times New Roman" w:cs="Times New Roman"/>
          <w:color w:val="000000"/>
          <w:kern w:val="0"/>
          <w:sz w:val="30"/>
        </w:rPr>
        <w:t> </w:t>
      </w:r>
      <w:r w:rsidRPr="008F7EE4">
        <w:rPr>
          <w:rFonts w:ascii="Times New Roman" w:eastAsia="宋体" w:hAnsi="Times New Roman" w:cs="Times New Roman"/>
          <w:color w:val="000000"/>
          <w:kern w:val="0"/>
          <w:sz w:val="30"/>
          <w:szCs w:val="30"/>
          <w:bdr w:val="none" w:sz="0" w:space="0" w:color="auto" w:frame="1"/>
        </w:rPr>
        <w:t>“</w:t>
      </w:r>
      <w:r w:rsidRPr="008F7EE4">
        <w:rPr>
          <w:rFonts w:ascii="仿宋_GB2312" w:eastAsia="仿宋_GB2312" w:hAnsi="Times New Roman" w:cs="Times New Roman" w:hint="eastAsia"/>
          <w:color w:val="000000"/>
          <w:kern w:val="0"/>
          <w:sz w:val="30"/>
          <w:szCs w:val="30"/>
          <w:bdr w:val="none" w:sz="0" w:space="0" w:color="auto" w:frame="1"/>
        </w:rPr>
        <w:t>交易留痕、风险可控</w:t>
      </w:r>
      <w:r w:rsidRPr="008F7EE4">
        <w:rPr>
          <w:rFonts w:ascii="Times New Roman" w:eastAsia="宋体" w:hAnsi="Times New Roman" w:cs="Times New Roman"/>
          <w:color w:val="000000"/>
          <w:kern w:val="0"/>
          <w:sz w:val="30"/>
          <w:szCs w:val="30"/>
          <w:bdr w:val="none" w:sz="0" w:space="0" w:color="auto" w:frame="1"/>
        </w:rPr>
        <w:t>”</w:t>
      </w:r>
      <w:r w:rsidRPr="008F7EE4">
        <w:rPr>
          <w:rFonts w:ascii="仿宋_GB2312" w:eastAsia="仿宋_GB2312" w:hAnsi="Times New Roman" w:cs="Times New Roman" w:hint="eastAsia"/>
          <w:color w:val="000000"/>
          <w:kern w:val="0"/>
          <w:sz w:val="30"/>
          <w:szCs w:val="30"/>
          <w:bdr w:val="none" w:sz="0" w:space="0" w:color="auto" w:frame="1"/>
        </w:rPr>
        <w:t>的技术条件。</w:t>
      </w:r>
    </w:p>
    <w:p w:rsidR="008F7EE4" w:rsidRPr="008F7EE4" w:rsidRDefault="008F7EE4" w:rsidP="008F7EE4">
      <w:pPr>
        <w:widowControl/>
        <w:spacing w:line="555" w:lineRule="atLeast"/>
        <w:ind w:firstLine="600"/>
        <w:rPr>
          <w:rFonts w:ascii="Times New Roman" w:eastAsia="宋体" w:hAnsi="Times New Roman" w:cs="Times New Roman"/>
          <w:color w:val="000000"/>
          <w:kern w:val="0"/>
          <w:sz w:val="30"/>
          <w:szCs w:val="30"/>
        </w:rPr>
      </w:pPr>
      <w:r w:rsidRPr="008F7EE4">
        <w:rPr>
          <w:rFonts w:ascii="仿宋_GB2312" w:eastAsia="仿宋_GB2312" w:hAnsi="Times New Roman" w:cs="Times New Roman" w:hint="eastAsia"/>
          <w:color w:val="000000"/>
          <w:kern w:val="0"/>
          <w:sz w:val="30"/>
          <w:szCs w:val="30"/>
          <w:bdr w:val="none" w:sz="0" w:space="0" w:color="auto" w:frame="1"/>
        </w:rPr>
        <w:t>（四）外贸综合服务企业应向委托客户明示实际成交汇率，不得利用汇率价差非法牟利。</w:t>
      </w:r>
    </w:p>
    <w:p w:rsidR="008F7EE4" w:rsidRPr="008F7EE4" w:rsidRDefault="008F7EE4" w:rsidP="008F7EE4">
      <w:pPr>
        <w:widowControl/>
        <w:spacing w:line="555" w:lineRule="atLeast"/>
        <w:ind w:firstLine="600"/>
        <w:rPr>
          <w:rFonts w:ascii="Times New Roman" w:eastAsia="宋体" w:hAnsi="Times New Roman" w:cs="Times New Roman"/>
          <w:color w:val="000000"/>
          <w:kern w:val="0"/>
          <w:sz w:val="30"/>
          <w:szCs w:val="30"/>
        </w:rPr>
      </w:pPr>
      <w:r w:rsidRPr="008F7EE4">
        <w:rPr>
          <w:rFonts w:ascii="仿宋_GB2312" w:eastAsia="仿宋_GB2312" w:hAnsi="Times New Roman" w:cs="Times New Roman" w:hint="eastAsia"/>
          <w:color w:val="000000"/>
          <w:kern w:val="0"/>
          <w:sz w:val="30"/>
          <w:szCs w:val="30"/>
          <w:bdr w:val="none" w:sz="0" w:space="0" w:color="auto" w:frame="1"/>
        </w:rPr>
        <w:t>八、外汇局通过技术手段支持企业优化外汇业务流程。贸易新业态市场主体可通过联机接口服务连接货物贸易外汇监测系统，联机查询名录状态，办理企业货物贸易外汇业务报告等；可通过银行电子单据办理国际收支申报或数字外管平台（</w:t>
      </w:r>
      <w:r w:rsidRPr="008F7EE4">
        <w:rPr>
          <w:rFonts w:ascii="Times New Roman" w:eastAsia="宋体" w:hAnsi="Times New Roman" w:cs="Times New Roman"/>
          <w:color w:val="000000"/>
          <w:kern w:val="0"/>
          <w:sz w:val="30"/>
          <w:szCs w:val="30"/>
          <w:bdr w:val="none" w:sz="0" w:space="0" w:color="auto" w:frame="1"/>
        </w:rPr>
        <w:t>ASONE</w:t>
      </w:r>
      <w:r w:rsidRPr="008F7EE4">
        <w:rPr>
          <w:rFonts w:ascii="仿宋_GB2312" w:eastAsia="仿宋_GB2312" w:hAnsi="Times New Roman" w:cs="Times New Roman" w:hint="eastAsia"/>
          <w:color w:val="000000"/>
          <w:kern w:val="0"/>
          <w:sz w:val="30"/>
          <w:szCs w:val="30"/>
          <w:bdr w:val="none" w:sz="0" w:space="0" w:color="auto" w:frame="1"/>
        </w:rPr>
        <w:t>）企业版网上办理涉外收入申报。</w:t>
      </w:r>
    </w:p>
    <w:p w:rsidR="008F7EE4" w:rsidRPr="008F7EE4" w:rsidRDefault="008F7EE4" w:rsidP="008F7EE4">
      <w:pPr>
        <w:widowControl/>
        <w:spacing w:line="555" w:lineRule="atLeast"/>
        <w:ind w:firstLine="600"/>
        <w:rPr>
          <w:rFonts w:ascii="Times New Roman" w:eastAsia="宋体" w:hAnsi="Times New Roman" w:cs="Times New Roman"/>
          <w:color w:val="000000"/>
          <w:kern w:val="0"/>
          <w:sz w:val="30"/>
          <w:szCs w:val="30"/>
        </w:rPr>
      </w:pPr>
      <w:r w:rsidRPr="008F7EE4">
        <w:rPr>
          <w:rFonts w:ascii="仿宋_GB2312" w:eastAsia="仿宋_GB2312" w:hAnsi="Times New Roman" w:cs="Times New Roman" w:hint="eastAsia"/>
          <w:color w:val="000000"/>
          <w:kern w:val="0"/>
          <w:sz w:val="30"/>
          <w:szCs w:val="30"/>
          <w:bdr w:val="none" w:sz="0" w:space="0" w:color="auto" w:frame="1"/>
        </w:rPr>
        <w:t>九、审核交易电子信息的银行和支付机构，应根据《国家外汇管理局关于印发〈通过银行进行国际收支统计申报业务指引（</w:t>
      </w:r>
      <w:r w:rsidRPr="008F7EE4">
        <w:rPr>
          <w:rFonts w:ascii="Times New Roman" w:eastAsia="宋体" w:hAnsi="Times New Roman" w:cs="Times New Roman"/>
          <w:color w:val="000000"/>
          <w:kern w:val="0"/>
          <w:sz w:val="30"/>
          <w:szCs w:val="30"/>
          <w:bdr w:val="none" w:sz="0" w:space="0" w:color="auto" w:frame="1"/>
        </w:rPr>
        <w:t>2019</w:t>
      </w:r>
      <w:r w:rsidRPr="008F7EE4">
        <w:rPr>
          <w:rFonts w:ascii="仿宋_GB2312" w:eastAsia="仿宋_GB2312" w:hAnsi="Times New Roman" w:cs="Times New Roman" w:hint="eastAsia"/>
          <w:color w:val="000000"/>
          <w:kern w:val="0"/>
          <w:sz w:val="30"/>
          <w:szCs w:val="30"/>
          <w:bdr w:val="none" w:sz="0" w:space="0" w:color="auto" w:frame="1"/>
        </w:rPr>
        <w:t>年版）〉的通知》（汇发〔</w:t>
      </w:r>
      <w:r w:rsidRPr="008F7EE4">
        <w:rPr>
          <w:rFonts w:ascii="Times New Roman" w:eastAsia="宋体" w:hAnsi="Times New Roman" w:cs="Times New Roman"/>
          <w:color w:val="000000"/>
          <w:kern w:val="0"/>
          <w:sz w:val="30"/>
          <w:szCs w:val="30"/>
          <w:bdr w:val="none" w:sz="0" w:space="0" w:color="auto" w:frame="1"/>
        </w:rPr>
        <w:t>2019</w:t>
      </w:r>
      <w:r w:rsidRPr="008F7EE4">
        <w:rPr>
          <w:rFonts w:ascii="仿宋_GB2312" w:eastAsia="仿宋_GB2312" w:hAnsi="Times New Roman" w:cs="Times New Roman" w:hint="eastAsia"/>
          <w:color w:val="000000"/>
          <w:kern w:val="0"/>
          <w:sz w:val="30"/>
          <w:szCs w:val="30"/>
          <w:bdr w:val="none" w:sz="0" w:space="0" w:color="auto" w:frame="1"/>
        </w:rPr>
        <w:t>〕</w:t>
      </w:r>
      <w:r w:rsidRPr="008F7EE4">
        <w:rPr>
          <w:rFonts w:ascii="Times New Roman" w:eastAsia="宋体" w:hAnsi="Times New Roman" w:cs="Times New Roman"/>
          <w:color w:val="000000"/>
          <w:kern w:val="0"/>
          <w:sz w:val="30"/>
          <w:szCs w:val="30"/>
          <w:bdr w:val="none" w:sz="0" w:space="0" w:color="auto" w:frame="1"/>
        </w:rPr>
        <w:t>25</w:t>
      </w:r>
      <w:r w:rsidRPr="008F7EE4">
        <w:rPr>
          <w:rFonts w:ascii="仿宋_GB2312" w:eastAsia="仿宋_GB2312" w:hAnsi="Times New Roman" w:cs="Times New Roman" w:hint="eastAsia"/>
          <w:color w:val="000000"/>
          <w:kern w:val="0"/>
          <w:sz w:val="30"/>
          <w:szCs w:val="30"/>
          <w:bdr w:val="none" w:sz="0" w:space="0" w:color="auto" w:frame="1"/>
        </w:rPr>
        <w:t>号），办理实际收付数据和还原数据申报。银行和支付机构办理还原申报时，单笔金额低于等值</w:t>
      </w:r>
      <w:r w:rsidRPr="008F7EE4">
        <w:rPr>
          <w:rFonts w:ascii="Times New Roman" w:eastAsia="宋体" w:hAnsi="Times New Roman" w:cs="Times New Roman"/>
          <w:color w:val="000000"/>
          <w:kern w:val="0"/>
          <w:sz w:val="30"/>
          <w:szCs w:val="30"/>
          <w:bdr w:val="none" w:sz="0" w:space="0" w:color="auto" w:frame="1"/>
        </w:rPr>
        <w:t>5000</w:t>
      </w:r>
      <w:r w:rsidRPr="008F7EE4">
        <w:rPr>
          <w:rFonts w:ascii="仿宋_GB2312" w:eastAsia="仿宋_GB2312" w:hAnsi="Times New Roman" w:cs="Times New Roman" w:hint="eastAsia"/>
          <w:color w:val="000000"/>
          <w:kern w:val="0"/>
          <w:sz w:val="30"/>
          <w:szCs w:val="30"/>
          <w:bdr w:val="none" w:sz="0" w:space="0" w:color="auto" w:frame="1"/>
        </w:rPr>
        <w:t>美元（含），应以自身名义进行汇总还原申报。对存在出口退税、融资等需求的涉外收付款，可选择以企业名义，将同一交易对手且交易性质相同的逐笔数据汇总还原申报。银行办理跨境电子商务、市场采购贸易、外贸综合服务等相关的货物贸易和服务贸易涉外收支时，应在涉外收支申报交易附言中注明</w:t>
      </w:r>
      <w:r w:rsidRPr="008F7EE4">
        <w:rPr>
          <w:rFonts w:ascii="Times New Roman" w:eastAsia="宋体" w:hAnsi="Times New Roman" w:cs="Times New Roman"/>
          <w:color w:val="000000"/>
          <w:kern w:val="0"/>
          <w:sz w:val="30"/>
          <w:szCs w:val="30"/>
          <w:bdr w:val="none" w:sz="0" w:space="0" w:color="auto" w:frame="1"/>
        </w:rPr>
        <w:t>“</w:t>
      </w:r>
      <w:r w:rsidRPr="008F7EE4">
        <w:rPr>
          <w:rFonts w:ascii="仿宋_GB2312" w:eastAsia="仿宋_GB2312" w:hAnsi="Times New Roman" w:cs="Times New Roman" w:hint="eastAsia"/>
          <w:color w:val="000000"/>
          <w:kern w:val="0"/>
          <w:sz w:val="30"/>
          <w:szCs w:val="30"/>
          <w:bdr w:val="none" w:sz="0" w:space="0" w:color="auto" w:frame="1"/>
        </w:rPr>
        <w:t>跨境电商</w:t>
      </w:r>
      <w:r w:rsidRPr="008F7EE4">
        <w:rPr>
          <w:rFonts w:ascii="Times New Roman" w:eastAsia="宋体" w:hAnsi="Times New Roman" w:cs="Times New Roman"/>
          <w:color w:val="000000"/>
          <w:kern w:val="0"/>
          <w:sz w:val="30"/>
          <w:szCs w:val="30"/>
          <w:bdr w:val="none" w:sz="0" w:space="0" w:color="auto" w:frame="1"/>
        </w:rPr>
        <w:t>”“</w:t>
      </w:r>
      <w:r w:rsidRPr="008F7EE4">
        <w:rPr>
          <w:rFonts w:ascii="仿宋_GB2312" w:eastAsia="仿宋_GB2312" w:hAnsi="Times New Roman" w:cs="Times New Roman" w:hint="eastAsia"/>
          <w:color w:val="000000"/>
          <w:kern w:val="0"/>
          <w:sz w:val="30"/>
          <w:szCs w:val="30"/>
          <w:bdr w:val="none" w:sz="0" w:space="0" w:color="auto" w:frame="1"/>
        </w:rPr>
        <w:t>市场采购贸易</w:t>
      </w:r>
      <w:r w:rsidRPr="008F7EE4">
        <w:rPr>
          <w:rFonts w:ascii="Times New Roman" w:eastAsia="宋体" w:hAnsi="Times New Roman" w:cs="Times New Roman"/>
          <w:color w:val="000000"/>
          <w:kern w:val="0"/>
          <w:sz w:val="30"/>
          <w:szCs w:val="30"/>
          <w:bdr w:val="none" w:sz="0" w:space="0" w:color="auto" w:frame="1"/>
        </w:rPr>
        <w:t>”</w:t>
      </w:r>
      <w:r w:rsidRPr="008F7EE4">
        <w:rPr>
          <w:rFonts w:ascii="仿宋_GB2312" w:eastAsia="仿宋_GB2312" w:hAnsi="Times New Roman" w:cs="Times New Roman" w:hint="eastAsia"/>
          <w:color w:val="000000"/>
          <w:kern w:val="0"/>
          <w:sz w:val="30"/>
          <w:szCs w:val="30"/>
          <w:bdr w:val="none" w:sz="0" w:space="0" w:color="auto" w:frame="1"/>
        </w:rPr>
        <w:t>和</w:t>
      </w:r>
      <w:r w:rsidRPr="008F7EE4">
        <w:rPr>
          <w:rFonts w:ascii="Times New Roman" w:eastAsia="宋体" w:hAnsi="Times New Roman" w:cs="Times New Roman"/>
          <w:color w:val="000000"/>
          <w:kern w:val="0"/>
          <w:sz w:val="30"/>
          <w:szCs w:val="30"/>
          <w:bdr w:val="none" w:sz="0" w:space="0" w:color="auto" w:frame="1"/>
        </w:rPr>
        <w:t>“</w:t>
      </w:r>
      <w:r w:rsidRPr="008F7EE4">
        <w:rPr>
          <w:rFonts w:ascii="仿宋_GB2312" w:eastAsia="仿宋_GB2312" w:hAnsi="Times New Roman" w:cs="Times New Roman" w:hint="eastAsia"/>
          <w:color w:val="000000"/>
          <w:kern w:val="0"/>
          <w:sz w:val="30"/>
          <w:szCs w:val="30"/>
          <w:bdr w:val="none" w:sz="0" w:space="0" w:color="auto" w:frame="1"/>
        </w:rPr>
        <w:t>外贸综合服务</w:t>
      </w:r>
      <w:r w:rsidRPr="008F7EE4">
        <w:rPr>
          <w:rFonts w:ascii="Times New Roman" w:eastAsia="宋体" w:hAnsi="Times New Roman" w:cs="Times New Roman"/>
          <w:color w:val="000000"/>
          <w:kern w:val="0"/>
          <w:sz w:val="30"/>
          <w:szCs w:val="30"/>
          <w:bdr w:val="none" w:sz="0" w:space="0" w:color="auto" w:frame="1"/>
        </w:rPr>
        <w:t>”</w:t>
      </w:r>
      <w:r w:rsidRPr="008F7EE4">
        <w:rPr>
          <w:rFonts w:ascii="仿宋_GB2312" w:eastAsia="仿宋_GB2312" w:hAnsi="Times New Roman" w:cs="Times New Roman" w:hint="eastAsia"/>
          <w:color w:val="000000"/>
          <w:kern w:val="0"/>
          <w:sz w:val="30"/>
          <w:szCs w:val="30"/>
          <w:bdr w:val="none" w:sz="0" w:space="0" w:color="auto" w:frame="1"/>
        </w:rPr>
        <w:t>。</w:t>
      </w:r>
    </w:p>
    <w:p w:rsidR="008F7EE4" w:rsidRPr="008F7EE4" w:rsidRDefault="008F7EE4" w:rsidP="008F7EE4">
      <w:pPr>
        <w:widowControl/>
        <w:spacing w:line="555" w:lineRule="atLeast"/>
        <w:ind w:firstLine="600"/>
        <w:rPr>
          <w:rFonts w:ascii="Times New Roman" w:eastAsia="宋体" w:hAnsi="Times New Roman" w:cs="Times New Roman"/>
          <w:color w:val="000000"/>
          <w:kern w:val="0"/>
          <w:sz w:val="30"/>
          <w:szCs w:val="30"/>
        </w:rPr>
      </w:pPr>
      <w:r w:rsidRPr="008F7EE4">
        <w:rPr>
          <w:rFonts w:ascii="仿宋_GB2312" w:eastAsia="仿宋_GB2312" w:hAnsi="Times New Roman" w:cs="Times New Roman" w:hint="eastAsia"/>
          <w:color w:val="000000"/>
          <w:kern w:val="0"/>
          <w:sz w:val="30"/>
          <w:szCs w:val="30"/>
          <w:bdr w:val="none" w:sz="0" w:space="0" w:color="auto" w:frame="1"/>
        </w:rPr>
        <w:lastRenderedPageBreak/>
        <w:t>十、外汇局对跨境电子商务、市场采购贸易、外贸综合服务等贸易新业态涉外收支依法实施监督管理，开展监测、核查和检查。对异常交易主体实施重点名单管理，向银行和支付机构发布。持续对审核交易电子信息的银行和支付机构进行评估，并依法退出不符合条件的银行或支付机构。</w:t>
      </w:r>
    </w:p>
    <w:p w:rsidR="008F7EE4" w:rsidRPr="008F7EE4" w:rsidRDefault="008F7EE4" w:rsidP="008F7EE4">
      <w:pPr>
        <w:widowControl/>
        <w:spacing w:line="555" w:lineRule="atLeast"/>
        <w:ind w:firstLine="600"/>
        <w:rPr>
          <w:rFonts w:ascii="Times New Roman" w:eastAsia="宋体" w:hAnsi="Times New Roman" w:cs="Times New Roman"/>
          <w:color w:val="000000"/>
          <w:kern w:val="0"/>
          <w:sz w:val="30"/>
          <w:szCs w:val="30"/>
        </w:rPr>
      </w:pPr>
      <w:r w:rsidRPr="008F7EE4">
        <w:rPr>
          <w:rFonts w:ascii="仿宋_GB2312" w:eastAsia="仿宋_GB2312" w:hAnsi="Times New Roman" w:cs="Times New Roman" w:hint="eastAsia"/>
          <w:color w:val="000000"/>
          <w:kern w:val="0"/>
          <w:sz w:val="30"/>
          <w:szCs w:val="30"/>
          <w:bdr w:val="none" w:sz="0" w:space="0" w:color="auto" w:frame="1"/>
        </w:rPr>
        <w:t>十一、为贸易新业态提供服务的银行和支付机构，按照展业原则，应完善贸易新业态客户身份识别和管理制度，加强客户信用分类管理，持续开展客户身份识别与交易抽查验证，健全客户合规约束和分类标识机制，审慎办理重点名单内市场主体的外汇业务，指导客户合规办理外汇收支。</w:t>
      </w:r>
    </w:p>
    <w:p w:rsidR="008F7EE4" w:rsidRPr="008F7EE4" w:rsidRDefault="008F7EE4" w:rsidP="008F7EE4">
      <w:pPr>
        <w:widowControl/>
        <w:spacing w:line="555" w:lineRule="atLeast"/>
        <w:ind w:firstLine="600"/>
        <w:rPr>
          <w:rFonts w:ascii="Times New Roman" w:eastAsia="宋体" w:hAnsi="Times New Roman" w:cs="Times New Roman"/>
          <w:color w:val="000000"/>
          <w:kern w:val="0"/>
          <w:sz w:val="30"/>
          <w:szCs w:val="30"/>
        </w:rPr>
      </w:pPr>
      <w:r w:rsidRPr="008F7EE4">
        <w:rPr>
          <w:rFonts w:ascii="仿宋_GB2312" w:eastAsia="仿宋_GB2312" w:hAnsi="Times New Roman" w:cs="Times New Roman" w:hint="eastAsia"/>
          <w:color w:val="000000"/>
          <w:kern w:val="0"/>
          <w:sz w:val="30"/>
          <w:szCs w:val="30"/>
          <w:bdr w:val="none" w:sz="0" w:space="0" w:color="auto" w:frame="1"/>
        </w:rPr>
        <w:t>十二、外汇局密切跟踪贸易新业态新模式的创新发展，按照</w:t>
      </w:r>
      <w:r w:rsidRPr="008F7EE4">
        <w:rPr>
          <w:rFonts w:ascii="Times New Roman" w:eastAsia="宋体" w:hAnsi="Times New Roman" w:cs="Times New Roman"/>
          <w:color w:val="000000"/>
          <w:kern w:val="0"/>
          <w:sz w:val="30"/>
        </w:rPr>
        <w:t> </w:t>
      </w:r>
      <w:r w:rsidRPr="008F7EE4">
        <w:rPr>
          <w:rFonts w:ascii="Times New Roman" w:eastAsia="宋体" w:hAnsi="Times New Roman" w:cs="Times New Roman"/>
          <w:color w:val="000000"/>
          <w:kern w:val="0"/>
          <w:sz w:val="30"/>
          <w:szCs w:val="30"/>
          <w:bdr w:val="none" w:sz="0" w:space="0" w:color="auto" w:frame="1"/>
        </w:rPr>
        <w:t>“</w:t>
      </w:r>
      <w:r w:rsidRPr="008F7EE4">
        <w:rPr>
          <w:rFonts w:ascii="仿宋_GB2312" w:eastAsia="仿宋_GB2312" w:hAnsi="Times New Roman" w:cs="Times New Roman" w:hint="eastAsia"/>
          <w:color w:val="000000"/>
          <w:kern w:val="0"/>
          <w:sz w:val="30"/>
          <w:szCs w:val="30"/>
          <w:bdr w:val="none" w:sz="0" w:space="0" w:color="auto" w:frame="1"/>
        </w:rPr>
        <w:t>服务实体、便利开放、交易留痕、风险可控</w:t>
      </w:r>
      <w:r w:rsidRPr="008F7EE4">
        <w:rPr>
          <w:rFonts w:ascii="Times New Roman" w:eastAsia="宋体" w:hAnsi="Times New Roman" w:cs="Times New Roman"/>
          <w:color w:val="000000"/>
          <w:kern w:val="0"/>
          <w:sz w:val="30"/>
          <w:szCs w:val="30"/>
          <w:bdr w:val="none" w:sz="0" w:space="0" w:color="auto" w:frame="1"/>
        </w:rPr>
        <w:t>”</w:t>
      </w:r>
      <w:r w:rsidRPr="008F7EE4">
        <w:rPr>
          <w:rFonts w:ascii="仿宋_GB2312" w:eastAsia="仿宋_GB2312" w:hAnsi="Times New Roman" w:cs="Times New Roman" w:hint="eastAsia"/>
          <w:color w:val="000000"/>
          <w:kern w:val="0"/>
          <w:sz w:val="30"/>
          <w:szCs w:val="30"/>
          <w:bdr w:val="none" w:sz="0" w:space="0" w:color="auto" w:frame="1"/>
        </w:rPr>
        <w:t>的原则，主动回应市场诉求。对于符合改革发展方向、真实合理的新型贸易收支，国家外汇管理局各分局、外汇管理部可根据具体情况按程序通过集体审议解决，但不得新增行政许可。</w:t>
      </w:r>
    </w:p>
    <w:p w:rsidR="008F7EE4" w:rsidRPr="008F7EE4" w:rsidRDefault="008F7EE4" w:rsidP="008F7EE4">
      <w:pPr>
        <w:widowControl/>
        <w:spacing w:line="555" w:lineRule="atLeast"/>
        <w:ind w:firstLine="600"/>
        <w:rPr>
          <w:rFonts w:ascii="Times New Roman" w:eastAsia="宋体" w:hAnsi="Times New Roman" w:cs="Times New Roman"/>
          <w:color w:val="000000"/>
          <w:kern w:val="0"/>
          <w:sz w:val="30"/>
          <w:szCs w:val="30"/>
        </w:rPr>
      </w:pPr>
      <w:r w:rsidRPr="008F7EE4">
        <w:rPr>
          <w:rFonts w:ascii="仿宋_GB2312" w:eastAsia="仿宋_GB2312" w:hAnsi="Times New Roman" w:cs="Times New Roman" w:hint="eastAsia"/>
          <w:color w:val="000000"/>
          <w:kern w:val="0"/>
          <w:sz w:val="30"/>
          <w:szCs w:val="30"/>
          <w:bdr w:val="none" w:sz="0" w:space="0" w:color="auto" w:frame="1"/>
        </w:rPr>
        <w:t>十三、对违反本通知及相关外汇管理规定的行为，根据《中华人民共和国外汇管理条例》等有关规定予以处罚。</w:t>
      </w:r>
    </w:p>
    <w:p w:rsidR="008F7EE4" w:rsidRPr="008F7EE4" w:rsidRDefault="008F7EE4" w:rsidP="008F7EE4">
      <w:pPr>
        <w:widowControl/>
        <w:spacing w:line="555" w:lineRule="atLeast"/>
        <w:ind w:firstLine="600"/>
        <w:rPr>
          <w:rFonts w:ascii="Times New Roman" w:eastAsia="宋体" w:hAnsi="Times New Roman" w:cs="Times New Roman"/>
          <w:color w:val="000000"/>
          <w:kern w:val="0"/>
          <w:sz w:val="30"/>
          <w:szCs w:val="30"/>
        </w:rPr>
      </w:pPr>
      <w:r w:rsidRPr="008F7EE4">
        <w:rPr>
          <w:rFonts w:ascii="仿宋_GB2312" w:eastAsia="仿宋_GB2312" w:hAnsi="Times New Roman" w:cs="Times New Roman" w:hint="eastAsia"/>
          <w:color w:val="000000"/>
          <w:kern w:val="0"/>
          <w:sz w:val="30"/>
          <w:szCs w:val="30"/>
          <w:bdr w:val="none" w:sz="0" w:space="0" w:color="auto" w:frame="1"/>
        </w:rPr>
        <w:t>十四、本通知有关定义：</w:t>
      </w:r>
    </w:p>
    <w:p w:rsidR="008F7EE4" w:rsidRPr="008F7EE4" w:rsidRDefault="008F7EE4" w:rsidP="008F7EE4">
      <w:pPr>
        <w:widowControl/>
        <w:spacing w:line="555" w:lineRule="atLeast"/>
        <w:ind w:firstLine="600"/>
        <w:rPr>
          <w:rFonts w:ascii="Times New Roman" w:eastAsia="宋体" w:hAnsi="Times New Roman" w:cs="Times New Roman"/>
          <w:color w:val="000000"/>
          <w:kern w:val="0"/>
          <w:sz w:val="30"/>
          <w:szCs w:val="30"/>
        </w:rPr>
      </w:pPr>
      <w:r w:rsidRPr="008F7EE4">
        <w:rPr>
          <w:rFonts w:ascii="仿宋_GB2312" w:eastAsia="仿宋_GB2312" w:hAnsi="Times New Roman" w:cs="Times New Roman" w:hint="eastAsia"/>
          <w:color w:val="000000"/>
          <w:kern w:val="0"/>
          <w:sz w:val="30"/>
          <w:szCs w:val="30"/>
          <w:bdr w:val="none" w:sz="0" w:space="0" w:color="auto" w:frame="1"/>
        </w:rPr>
        <w:t>（一）跨境电子商务是指通过互联网等信息网络从事商品或者服务贸易进出口的经营活动。</w:t>
      </w:r>
    </w:p>
    <w:p w:rsidR="008F7EE4" w:rsidRPr="008F7EE4" w:rsidRDefault="008F7EE4" w:rsidP="008F7EE4">
      <w:pPr>
        <w:widowControl/>
        <w:spacing w:line="555" w:lineRule="atLeast"/>
        <w:ind w:firstLine="600"/>
        <w:rPr>
          <w:rFonts w:ascii="Times New Roman" w:eastAsia="宋体" w:hAnsi="Times New Roman" w:cs="Times New Roman"/>
          <w:color w:val="000000"/>
          <w:kern w:val="0"/>
          <w:sz w:val="30"/>
          <w:szCs w:val="30"/>
        </w:rPr>
      </w:pPr>
      <w:r w:rsidRPr="008F7EE4">
        <w:rPr>
          <w:rFonts w:ascii="仿宋_GB2312" w:eastAsia="仿宋_GB2312" w:hAnsi="Times New Roman" w:cs="Times New Roman" w:hint="eastAsia"/>
          <w:color w:val="000000"/>
          <w:kern w:val="0"/>
          <w:sz w:val="30"/>
          <w:szCs w:val="30"/>
          <w:bdr w:val="none" w:sz="0" w:space="0" w:color="auto" w:frame="1"/>
        </w:rPr>
        <w:t>（二）市场采购贸易是指在经认定的市场集聚区采购商品，由符合条件的经营者办理出口通关手续的贸易方式。</w:t>
      </w:r>
    </w:p>
    <w:p w:rsidR="008F7EE4" w:rsidRPr="008F7EE4" w:rsidRDefault="008F7EE4" w:rsidP="008F7EE4">
      <w:pPr>
        <w:widowControl/>
        <w:spacing w:line="555" w:lineRule="atLeast"/>
        <w:ind w:firstLine="600"/>
        <w:rPr>
          <w:rFonts w:ascii="Times New Roman" w:eastAsia="宋体" w:hAnsi="Times New Roman" w:cs="Times New Roman"/>
          <w:color w:val="000000"/>
          <w:kern w:val="0"/>
          <w:sz w:val="30"/>
          <w:szCs w:val="30"/>
        </w:rPr>
      </w:pPr>
      <w:r w:rsidRPr="008F7EE4">
        <w:rPr>
          <w:rFonts w:ascii="仿宋_GB2312" w:eastAsia="仿宋_GB2312" w:hAnsi="Times New Roman" w:cs="Times New Roman" w:hint="eastAsia"/>
          <w:color w:val="000000"/>
          <w:kern w:val="0"/>
          <w:sz w:val="30"/>
          <w:szCs w:val="30"/>
          <w:bdr w:val="none" w:sz="0" w:space="0" w:color="auto" w:frame="1"/>
        </w:rPr>
        <w:lastRenderedPageBreak/>
        <w:t>（三）外贸综合服务企业是指具备对外贸易经营者身份，接受国内外客户委托，依法签订综合服务合同（协议），依托综合服务信息平台，代为办理包括报关报检、物流、退税、结算、信保等在内的综合服务业务和协助办理融资业务的企业。</w:t>
      </w:r>
    </w:p>
    <w:p w:rsidR="008F7EE4" w:rsidRPr="008F7EE4" w:rsidRDefault="008F7EE4" w:rsidP="008F7EE4">
      <w:pPr>
        <w:widowControl/>
        <w:spacing w:line="555" w:lineRule="atLeast"/>
        <w:ind w:firstLine="600"/>
        <w:rPr>
          <w:rFonts w:ascii="Times New Roman" w:eastAsia="宋体" w:hAnsi="Times New Roman" w:cs="Times New Roman"/>
          <w:color w:val="000000"/>
          <w:kern w:val="0"/>
          <w:sz w:val="30"/>
          <w:szCs w:val="30"/>
        </w:rPr>
      </w:pPr>
      <w:r w:rsidRPr="008F7EE4">
        <w:rPr>
          <w:rFonts w:ascii="仿宋_GB2312" w:eastAsia="仿宋_GB2312" w:hAnsi="Times New Roman" w:cs="Times New Roman" w:hint="eastAsia"/>
          <w:color w:val="000000"/>
          <w:kern w:val="0"/>
          <w:sz w:val="30"/>
          <w:szCs w:val="30"/>
          <w:bdr w:val="none" w:sz="0" w:space="0" w:color="auto" w:frame="1"/>
        </w:rPr>
        <w:t>十五、本通知自发布之日起实施。此前规定与本通知不符的，以本通知为准。</w:t>
      </w:r>
    </w:p>
    <w:p w:rsidR="008F7EE4" w:rsidRPr="008F7EE4" w:rsidRDefault="008F7EE4" w:rsidP="008F7EE4">
      <w:pPr>
        <w:widowControl/>
        <w:spacing w:line="555" w:lineRule="atLeast"/>
        <w:ind w:firstLine="600"/>
        <w:rPr>
          <w:rFonts w:ascii="Times New Roman" w:eastAsia="宋体" w:hAnsi="Times New Roman" w:cs="Times New Roman"/>
          <w:color w:val="000000"/>
          <w:kern w:val="0"/>
          <w:sz w:val="30"/>
          <w:szCs w:val="30"/>
        </w:rPr>
      </w:pPr>
      <w:r w:rsidRPr="008F7EE4">
        <w:rPr>
          <w:rFonts w:ascii="仿宋_GB2312" w:eastAsia="仿宋_GB2312" w:hAnsi="Times New Roman" w:cs="Times New Roman" w:hint="eastAsia"/>
          <w:color w:val="000000"/>
          <w:kern w:val="0"/>
          <w:sz w:val="30"/>
          <w:szCs w:val="30"/>
          <w:bdr w:val="none" w:sz="0" w:space="0" w:color="auto" w:frame="1"/>
        </w:rPr>
        <w:t>国家外汇管理局各分局、外汇管理部接到本通知后，应及时转发辖内中心支局、支局、城市商业银行、农村商业银行、外资银行、农村合作银行；各全国性中资银行接到本通知后，应及时转发所辖分支机构。执行中如遇问题，请及时向国家外汇管理局反馈。</w:t>
      </w:r>
    </w:p>
    <w:p w:rsidR="008F7EE4" w:rsidRPr="008F7EE4" w:rsidRDefault="008F7EE4" w:rsidP="008F7EE4">
      <w:pPr>
        <w:widowControl/>
        <w:spacing w:line="555" w:lineRule="atLeast"/>
        <w:ind w:firstLine="600"/>
        <w:rPr>
          <w:rFonts w:ascii="Times New Roman" w:eastAsia="宋体" w:hAnsi="Times New Roman" w:cs="Times New Roman"/>
          <w:color w:val="000000"/>
          <w:kern w:val="0"/>
          <w:sz w:val="30"/>
          <w:szCs w:val="30"/>
        </w:rPr>
      </w:pPr>
    </w:p>
    <w:p w:rsidR="008F7EE4" w:rsidRPr="008F7EE4" w:rsidRDefault="008F7EE4" w:rsidP="008F7EE4">
      <w:pPr>
        <w:widowControl/>
        <w:spacing w:line="555" w:lineRule="atLeast"/>
        <w:ind w:firstLine="600"/>
        <w:rPr>
          <w:rFonts w:ascii="Times New Roman" w:eastAsia="宋体" w:hAnsi="Times New Roman" w:cs="Times New Roman"/>
          <w:color w:val="000000"/>
          <w:kern w:val="0"/>
          <w:sz w:val="30"/>
          <w:szCs w:val="30"/>
        </w:rPr>
      </w:pPr>
    </w:p>
    <w:p w:rsidR="008F7EE4" w:rsidRPr="008F7EE4" w:rsidRDefault="008F7EE4" w:rsidP="008F7EE4">
      <w:pPr>
        <w:widowControl/>
        <w:spacing w:line="555" w:lineRule="atLeast"/>
        <w:jc w:val="right"/>
        <w:rPr>
          <w:rFonts w:ascii="Times New Roman" w:eastAsia="宋体" w:hAnsi="Times New Roman" w:cs="Times New Roman"/>
          <w:color w:val="000000"/>
          <w:kern w:val="0"/>
          <w:sz w:val="30"/>
          <w:szCs w:val="30"/>
        </w:rPr>
      </w:pPr>
      <w:r w:rsidRPr="008F7EE4">
        <w:rPr>
          <w:rFonts w:ascii="仿宋_GB2312" w:eastAsia="仿宋_GB2312" w:hAnsi="Times New Roman" w:cs="Times New Roman" w:hint="eastAsia"/>
          <w:color w:val="000000"/>
          <w:kern w:val="0"/>
          <w:sz w:val="30"/>
          <w:szCs w:val="30"/>
          <w:bdr w:val="none" w:sz="0" w:space="0" w:color="auto" w:frame="1"/>
        </w:rPr>
        <w:t>国家外汇管理局</w:t>
      </w:r>
    </w:p>
    <w:p w:rsidR="008F7EE4" w:rsidRPr="008F7EE4" w:rsidRDefault="008F7EE4" w:rsidP="008F7EE4">
      <w:pPr>
        <w:widowControl/>
        <w:spacing w:line="555" w:lineRule="atLeast"/>
        <w:jc w:val="right"/>
        <w:rPr>
          <w:rFonts w:ascii="Times New Roman" w:eastAsia="宋体" w:hAnsi="Times New Roman" w:cs="Times New Roman"/>
          <w:color w:val="000000"/>
          <w:kern w:val="0"/>
          <w:sz w:val="30"/>
          <w:szCs w:val="30"/>
        </w:rPr>
      </w:pPr>
      <w:r w:rsidRPr="008F7EE4">
        <w:rPr>
          <w:rFonts w:ascii="Times New Roman" w:eastAsia="宋体" w:hAnsi="Times New Roman" w:cs="Times New Roman"/>
          <w:color w:val="000000"/>
          <w:kern w:val="0"/>
          <w:sz w:val="30"/>
          <w:szCs w:val="30"/>
          <w:bdr w:val="none" w:sz="0" w:space="0" w:color="auto" w:frame="1"/>
        </w:rPr>
        <w:t>2020</w:t>
      </w:r>
      <w:r w:rsidRPr="008F7EE4">
        <w:rPr>
          <w:rFonts w:ascii="仿宋_GB2312" w:eastAsia="仿宋_GB2312" w:hAnsi="Times New Roman" w:cs="Times New Roman" w:hint="eastAsia"/>
          <w:color w:val="000000"/>
          <w:kern w:val="0"/>
          <w:sz w:val="30"/>
          <w:szCs w:val="30"/>
          <w:bdr w:val="none" w:sz="0" w:space="0" w:color="auto" w:frame="1"/>
        </w:rPr>
        <w:t>年</w:t>
      </w:r>
      <w:r w:rsidRPr="008F7EE4">
        <w:rPr>
          <w:rFonts w:ascii="Times New Roman" w:eastAsia="宋体" w:hAnsi="Times New Roman" w:cs="Times New Roman"/>
          <w:color w:val="000000"/>
          <w:kern w:val="0"/>
          <w:sz w:val="30"/>
          <w:szCs w:val="30"/>
          <w:bdr w:val="none" w:sz="0" w:space="0" w:color="auto" w:frame="1"/>
        </w:rPr>
        <w:t>5</w:t>
      </w:r>
      <w:r w:rsidRPr="008F7EE4">
        <w:rPr>
          <w:rFonts w:ascii="仿宋_GB2312" w:eastAsia="仿宋_GB2312" w:hAnsi="Times New Roman" w:cs="Times New Roman" w:hint="eastAsia"/>
          <w:color w:val="000000"/>
          <w:kern w:val="0"/>
          <w:sz w:val="30"/>
          <w:szCs w:val="30"/>
          <w:bdr w:val="none" w:sz="0" w:space="0" w:color="auto" w:frame="1"/>
        </w:rPr>
        <w:t>月</w:t>
      </w:r>
      <w:r w:rsidRPr="008F7EE4">
        <w:rPr>
          <w:rFonts w:ascii="Times New Roman" w:eastAsia="宋体" w:hAnsi="Times New Roman" w:cs="Times New Roman"/>
          <w:color w:val="000000"/>
          <w:kern w:val="0"/>
          <w:sz w:val="30"/>
          <w:szCs w:val="30"/>
          <w:bdr w:val="none" w:sz="0" w:space="0" w:color="auto" w:frame="1"/>
        </w:rPr>
        <w:t>20</w:t>
      </w:r>
      <w:r w:rsidRPr="008F7EE4">
        <w:rPr>
          <w:rFonts w:ascii="仿宋_GB2312" w:eastAsia="仿宋_GB2312" w:hAnsi="Times New Roman" w:cs="Times New Roman" w:hint="eastAsia"/>
          <w:color w:val="000000"/>
          <w:kern w:val="0"/>
          <w:sz w:val="30"/>
          <w:szCs w:val="30"/>
          <w:bdr w:val="none" w:sz="0" w:space="0" w:color="auto" w:frame="1"/>
        </w:rPr>
        <w:t>日</w:t>
      </w:r>
    </w:p>
    <w:p w:rsidR="00D40B6C" w:rsidRDefault="00D40B6C"/>
    <w:sectPr w:rsidR="00D40B6C" w:rsidSect="00D40B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7EE4"/>
    <w:rsid w:val="008F7EE4"/>
    <w:rsid w:val="00D40B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B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7EE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F7EE4"/>
  </w:style>
</w:styles>
</file>

<file path=word/webSettings.xml><?xml version="1.0" encoding="utf-8"?>
<w:webSettings xmlns:r="http://schemas.openxmlformats.org/officeDocument/2006/relationships" xmlns:w="http://schemas.openxmlformats.org/wordprocessingml/2006/main">
  <w:divs>
    <w:div w:id="1818304636">
      <w:bodyDiv w:val="1"/>
      <w:marLeft w:val="0"/>
      <w:marRight w:val="0"/>
      <w:marTop w:val="0"/>
      <w:marBottom w:val="0"/>
      <w:divBdr>
        <w:top w:val="none" w:sz="0" w:space="0" w:color="auto"/>
        <w:left w:val="none" w:sz="0" w:space="0" w:color="auto"/>
        <w:bottom w:val="none" w:sz="0" w:space="0" w:color="auto"/>
        <w:right w:val="none" w:sz="0" w:space="0" w:color="auto"/>
      </w:divBdr>
      <w:divsChild>
        <w:div w:id="441654474">
          <w:marLeft w:val="0"/>
          <w:marRight w:val="0"/>
          <w:marTop w:val="435"/>
          <w:marBottom w:val="0"/>
          <w:divBdr>
            <w:top w:val="none" w:sz="0" w:space="0" w:color="auto"/>
            <w:left w:val="none" w:sz="0" w:space="0" w:color="auto"/>
            <w:bottom w:val="none" w:sz="0" w:space="0" w:color="auto"/>
            <w:right w:val="none" w:sz="0" w:space="0" w:color="auto"/>
          </w:divBdr>
        </w:div>
        <w:div w:id="494954242">
          <w:marLeft w:val="0"/>
          <w:marRight w:val="0"/>
          <w:marTop w:val="390"/>
          <w:marBottom w:val="0"/>
          <w:divBdr>
            <w:top w:val="none" w:sz="0" w:space="0" w:color="auto"/>
            <w:left w:val="none" w:sz="0" w:space="0" w:color="auto"/>
            <w:bottom w:val="none" w:sz="0" w:space="0" w:color="auto"/>
            <w:right w:val="none" w:sz="0" w:space="0" w:color="auto"/>
          </w:divBdr>
          <w:divsChild>
            <w:div w:id="2564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2020-11-17T08:31:00Z</dcterms:created>
  <dcterms:modified xsi:type="dcterms:W3CDTF">2020-11-17T08:31:00Z</dcterms:modified>
</cp:coreProperties>
</file>