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97" w:rsidRDefault="00665A97" w:rsidP="00665A97">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57016               </w:t>
      </w:r>
      <w:r>
        <w:rPr>
          <w:rFonts w:ascii="Times New Roman" w:eastAsia="黑体" w:hAnsi="Times New Roman" w:cs="Times New Roman"/>
          <w:noProof/>
          <w:sz w:val="48"/>
          <w:szCs w:val="48"/>
        </w:rPr>
        <w:drawing>
          <wp:inline distT="0" distB="0" distL="0" distR="0">
            <wp:extent cx="1104900"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a:stretch>
                      <a:fillRect/>
                    </a:stretch>
                  </pic:blipFill>
                  <pic:spPr bwMode="auto">
                    <a:xfrm>
                      <a:off x="0" y="0"/>
                      <a:ext cx="1104900" cy="885825"/>
                    </a:xfrm>
                    <a:prstGeom prst="rect">
                      <a:avLst/>
                    </a:prstGeom>
                    <a:noFill/>
                    <a:ln w="9525">
                      <a:noFill/>
                      <a:miter lim="800000"/>
                      <a:headEnd/>
                      <a:tailEnd/>
                    </a:ln>
                  </pic:spPr>
                </pic:pic>
              </a:graphicData>
            </a:graphic>
          </wp:inline>
        </w:drawing>
      </w:r>
    </w:p>
    <w:p w:rsidR="00665A97" w:rsidRDefault="00665A97" w:rsidP="00665A97">
      <w:pPr>
        <w:ind w:right="300"/>
        <w:jc w:val="center"/>
        <w:rPr>
          <w:rFonts w:ascii="Times New Roman" w:eastAsia="黑体" w:hAnsi="Times New Roman" w:cs="Times New Roman"/>
          <w:sz w:val="30"/>
          <w:szCs w:val="30"/>
        </w:rPr>
      </w:pPr>
    </w:p>
    <w:p w:rsidR="00665A97" w:rsidRDefault="00665A97" w:rsidP="00665A97">
      <w:pPr>
        <w:ind w:right="300"/>
        <w:jc w:val="center"/>
        <w:rPr>
          <w:rFonts w:ascii="Times New Roman" w:eastAsia="黑体" w:hAnsi="Times New Roman" w:cs="Times New Roman"/>
          <w:sz w:val="30"/>
          <w:szCs w:val="30"/>
        </w:rPr>
      </w:pPr>
    </w:p>
    <w:p w:rsidR="00665A97" w:rsidRDefault="00665A97" w:rsidP="00665A97">
      <w:pPr>
        <w:ind w:right="300"/>
        <w:jc w:val="center"/>
        <w:rPr>
          <w:rFonts w:ascii="Times New Roman" w:eastAsia="黑体" w:hAnsi="Times New Roman" w:cs="Times New Roman"/>
          <w:sz w:val="30"/>
          <w:szCs w:val="30"/>
        </w:rPr>
      </w:pPr>
    </w:p>
    <w:p w:rsidR="00665A97" w:rsidRDefault="00665A97" w:rsidP="00665A97">
      <w:pPr>
        <w:ind w:right="300"/>
        <w:jc w:val="center"/>
        <w:rPr>
          <w:rFonts w:ascii="Times New Roman" w:eastAsia="黑体" w:hAnsi="Times New Roman" w:cs="Times New Roman"/>
          <w:sz w:val="52"/>
          <w:szCs w:val="52"/>
        </w:rPr>
      </w:pPr>
    </w:p>
    <w:p w:rsidR="00665A97" w:rsidRDefault="00665A97" w:rsidP="00665A9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外币现钞提取、调运和携带出境审核</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665A97" w:rsidRDefault="00665A97" w:rsidP="00665A97">
      <w:pPr>
        <w:ind w:right="300"/>
        <w:jc w:val="center"/>
        <w:rPr>
          <w:rFonts w:ascii="Times New Roman" w:eastAsia="仿宋_GB2312" w:hAnsi="Times New Roman" w:cs="Times New Roman"/>
          <w:sz w:val="30"/>
          <w:szCs w:val="30"/>
        </w:rPr>
      </w:pPr>
    </w:p>
    <w:p w:rsidR="00665A97" w:rsidRDefault="00665A97" w:rsidP="00665A97">
      <w:pPr>
        <w:ind w:right="300"/>
        <w:jc w:val="center"/>
        <w:rPr>
          <w:rFonts w:ascii="Times New Roman" w:eastAsia="仿宋_GB2312" w:hAnsi="Times New Roman" w:cs="Times New Roman"/>
          <w:sz w:val="30"/>
          <w:szCs w:val="30"/>
        </w:rPr>
      </w:pPr>
    </w:p>
    <w:p w:rsidR="00665A97" w:rsidRDefault="00665A97" w:rsidP="00665A97">
      <w:pPr>
        <w:ind w:right="300"/>
        <w:jc w:val="center"/>
        <w:rPr>
          <w:rFonts w:ascii="Times New Roman" w:eastAsia="仿宋_GB2312" w:hAnsi="Times New Roman" w:cs="Times New Roman"/>
          <w:sz w:val="30"/>
          <w:szCs w:val="30"/>
        </w:rPr>
      </w:pPr>
    </w:p>
    <w:p w:rsidR="00665A97" w:rsidRDefault="00665A97" w:rsidP="00665A97">
      <w:pPr>
        <w:ind w:right="300"/>
        <w:jc w:val="center"/>
        <w:rPr>
          <w:rFonts w:ascii="Times New Roman" w:eastAsia="仿宋_GB2312" w:hAnsi="Times New Roman" w:cs="Times New Roman"/>
          <w:sz w:val="30"/>
          <w:szCs w:val="30"/>
        </w:rPr>
      </w:pPr>
    </w:p>
    <w:p w:rsidR="00665A97" w:rsidRDefault="00665A97" w:rsidP="00665A97">
      <w:pPr>
        <w:ind w:right="300"/>
        <w:jc w:val="center"/>
        <w:rPr>
          <w:rFonts w:ascii="Times New Roman" w:eastAsia="仿宋_GB2312" w:hAnsi="Times New Roman" w:cs="Times New Roman"/>
          <w:sz w:val="30"/>
          <w:szCs w:val="30"/>
        </w:rPr>
      </w:pPr>
    </w:p>
    <w:p w:rsidR="00665A97" w:rsidRDefault="00665A97" w:rsidP="00665A97">
      <w:pPr>
        <w:ind w:right="300"/>
        <w:jc w:val="center"/>
        <w:rPr>
          <w:rFonts w:ascii="Times New Roman" w:eastAsia="仿宋_GB2312" w:hAnsi="Times New Roman" w:cs="Times New Roman"/>
          <w:sz w:val="30"/>
          <w:szCs w:val="30"/>
        </w:rPr>
      </w:pPr>
    </w:p>
    <w:p w:rsidR="00665A97" w:rsidRDefault="00665A97" w:rsidP="00665A97">
      <w:pPr>
        <w:ind w:right="300"/>
        <w:jc w:val="center"/>
        <w:rPr>
          <w:rFonts w:ascii="Times New Roman" w:eastAsia="仿宋_GB2312" w:hAnsi="Times New Roman" w:cs="Times New Roman" w:hint="eastAsia"/>
          <w:sz w:val="30"/>
          <w:szCs w:val="30"/>
        </w:rPr>
      </w:pPr>
    </w:p>
    <w:p w:rsidR="00665A97" w:rsidRDefault="00665A97" w:rsidP="00665A97">
      <w:pPr>
        <w:ind w:right="300"/>
        <w:jc w:val="center"/>
        <w:rPr>
          <w:rFonts w:ascii="Times New Roman" w:eastAsia="仿宋_GB2312" w:hAnsi="Times New Roman" w:cs="Times New Roman" w:hint="eastAsia"/>
          <w:sz w:val="30"/>
          <w:szCs w:val="30"/>
        </w:rPr>
      </w:pPr>
    </w:p>
    <w:p w:rsidR="00665A97" w:rsidRDefault="00665A97" w:rsidP="00665A97">
      <w:pPr>
        <w:ind w:right="300"/>
        <w:jc w:val="center"/>
        <w:rPr>
          <w:rFonts w:ascii="Times New Roman" w:eastAsia="仿宋_GB2312" w:hAnsi="Times New Roman" w:cs="Times New Roman" w:hint="eastAsia"/>
          <w:sz w:val="30"/>
          <w:szCs w:val="30"/>
        </w:rPr>
      </w:pPr>
    </w:p>
    <w:p w:rsidR="00665A97" w:rsidRDefault="00665A97" w:rsidP="00665A97">
      <w:pPr>
        <w:ind w:right="300"/>
        <w:jc w:val="center"/>
        <w:rPr>
          <w:rFonts w:ascii="Times New Roman" w:eastAsia="仿宋_GB2312" w:hAnsi="Times New Roman" w:cs="Times New Roman"/>
          <w:sz w:val="30"/>
          <w:szCs w:val="30"/>
        </w:rPr>
      </w:pPr>
    </w:p>
    <w:p w:rsidR="00665A97" w:rsidRDefault="00665A97" w:rsidP="00665A9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天津市分局</w:t>
      </w:r>
    </w:p>
    <w:p w:rsidR="00665A97" w:rsidRDefault="00665A97" w:rsidP="00665A97">
      <w:pPr>
        <w:ind w:right="300"/>
        <w:rPr>
          <w:rFonts w:ascii="Times New Roman" w:eastAsia="仿宋_GB2312" w:hAnsi="Times New Roman" w:cs="Times New Roman"/>
          <w:sz w:val="30"/>
          <w:szCs w:val="30"/>
        </w:rPr>
      </w:pPr>
    </w:p>
    <w:p w:rsidR="00665A97" w:rsidRDefault="00665A97" w:rsidP="00665A97">
      <w:pPr>
        <w:ind w:right="300"/>
        <w:rPr>
          <w:rFonts w:ascii="Times New Roman" w:eastAsia="仿宋_GB2312" w:hAnsi="Times New Roman" w:cs="Times New Roman"/>
          <w:sz w:val="30"/>
          <w:szCs w:val="30"/>
        </w:rPr>
        <w:sectPr w:rsidR="00665A97">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720"/>
          <w:titlePg/>
          <w:docGrid w:type="lines" w:linePitch="312"/>
        </w:sectPr>
      </w:pPr>
    </w:p>
    <w:p w:rsidR="00665A97" w:rsidRDefault="00665A97" w:rsidP="00665A97">
      <w:pPr>
        <w:ind w:right="300"/>
        <w:jc w:val="left"/>
        <w:rPr>
          <w:rFonts w:ascii="Times New Roman" w:eastAsia="黑体" w:hAnsi="Times New Roman" w:cs="Times New Roman"/>
          <w:sz w:val="48"/>
          <w:szCs w:val="48"/>
        </w:rPr>
        <w:sectPr w:rsidR="00665A97">
          <w:footerReference w:type="default" r:id="rId11"/>
          <w:type w:val="continuous"/>
          <w:pgSz w:w="11906" w:h="16838"/>
          <w:pgMar w:top="1440" w:right="1800" w:bottom="1440" w:left="1800" w:header="851" w:footer="992" w:gutter="0"/>
          <w:cols w:space="720"/>
          <w:docGrid w:type="lines" w:linePitch="312"/>
        </w:sectPr>
      </w:pPr>
    </w:p>
    <w:p w:rsidR="00665A97" w:rsidRDefault="00665A97" w:rsidP="00665A97">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665A97" w:rsidRDefault="00665A97" w:rsidP="00665A9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项目名称：外币现钞提取、调运和携带出境审核；</w:t>
      </w:r>
    </w:p>
    <w:p w:rsidR="00665A97" w:rsidRDefault="00665A97" w:rsidP="00665A9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57016</w:t>
      </w:r>
      <w:r>
        <w:rPr>
          <w:rFonts w:ascii="Times New Roman" w:eastAsia="仿宋_GB2312" w:hAnsi="Times New Roman" w:cs="Times New Roman"/>
          <w:sz w:val="30"/>
          <w:szCs w:val="30"/>
        </w:rPr>
        <w:t>；</w:t>
      </w:r>
    </w:p>
    <w:p w:rsidR="00665A97" w:rsidRDefault="00665A97" w:rsidP="00665A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665A97" w:rsidRDefault="00665A97" w:rsidP="00665A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665A97" w:rsidRDefault="00665A97" w:rsidP="00665A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外币现钞提取、调运和携带出境审核</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665A97" w:rsidRDefault="00665A97" w:rsidP="00665A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665A97" w:rsidRDefault="00665A97" w:rsidP="00665A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号）第十五条：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携带、申报外币现钞出入境的限额，由国务院外汇管理部门规定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5670A" w:rsidRDefault="00665A97" w:rsidP="00665A97">
      <w:pPr>
        <w:rPr>
          <w:rFonts w:ascii="Times New Roman" w:eastAsia="仿宋_GB2312" w:hAnsi="Times New Roman" w:cs="Times New Roman" w:hint="eastAsia"/>
          <w:sz w:val="30"/>
          <w:szCs w:val="30"/>
        </w:rPr>
      </w:pPr>
      <w:r>
        <w:rPr>
          <w:rFonts w:ascii="Times New Roman" w:eastAsia="仿宋_GB2312" w:hAnsi="Times New Roman" w:cs="Times New Roman"/>
          <w:sz w:val="30"/>
          <w:szCs w:val="30"/>
        </w:rPr>
        <w:t>（二）《国务院对确需保留的行政审批项目设定行政许可的决定》（国务院令第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495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机构单笔提取超过规定金额外币现钞审批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65A97" w:rsidRDefault="00665A97" w:rsidP="00665A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hint="eastAsia"/>
          <w:sz w:val="30"/>
          <w:szCs w:val="30"/>
        </w:rPr>
        <w:t>四</w:t>
      </w:r>
      <w:r>
        <w:rPr>
          <w:rFonts w:ascii="Times New Roman" w:eastAsia="黑体" w:hAnsi="Times New Roman" w:cs="Times New Roman"/>
          <w:sz w:val="30"/>
          <w:szCs w:val="30"/>
        </w:rPr>
        <w:t>、调运外币现钞进出境业务市场准入审批</w:t>
      </w:r>
    </w:p>
    <w:p w:rsidR="00665A97" w:rsidRDefault="00665A97" w:rsidP="00665A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665A97" w:rsidRDefault="00665A97" w:rsidP="00665A97">
      <w:pPr>
        <w:adjustRightInd w:val="0"/>
        <w:snapToGrid w:val="0"/>
        <w:spacing w:line="360" w:lineRule="auto"/>
        <w:ind w:firstLine="585"/>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0"/>
          <w:sz w:val="30"/>
          <w:szCs w:val="30"/>
        </w:rPr>
        <w:t>《中华人民共和国外汇管理条例》</w:t>
      </w:r>
      <w:r>
        <w:rPr>
          <w:rFonts w:ascii="Times New Roman" w:eastAsia="仿宋_GB2312" w:hAnsi="Times New Roman" w:cs="Times New Roman"/>
          <w:sz w:val="30"/>
          <w:szCs w:val="30"/>
        </w:rPr>
        <w:t>（国务院令第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r>
        <w:rPr>
          <w:rFonts w:ascii="Times New Roman" w:eastAsia="仿宋_GB2312" w:hAnsi="Times New Roman" w:cs="Times New Roman"/>
          <w:kern w:val="0"/>
          <w:sz w:val="30"/>
          <w:szCs w:val="30"/>
        </w:rPr>
        <w:t>；</w:t>
      </w:r>
    </w:p>
    <w:p w:rsidR="00665A97" w:rsidRDefault="00665A97" w:rsidP="00665A97">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2.</w:t>
      </w:r>
      <w:r>
        <w:rPr>
          <w:rFonts w:ascii="Times New Roman" w:eastAsia="仿宋_GB2312" w:hAnsi="Times New Roman" w:cs="Times New Roman"/>
          <w:kern w:val="0"/>
          <w:sz w:val="30"/>
          <w:szCs w:val="30"/>
        </w:rPr>
        <w:t>《国家外汇管理局海关总署关于印发</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调运外币现钞进出境管理规定</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的通知》（汇发〔</w:t>
      </w:r>
      <w:r>
        <w:rPr>
          <w:rFonts w:ascii="Times New Roman" w:eastAsia="仿宋_GB2312" w:hAnsi="Times New Roman" w:cs="Times New Roman"/>
          <w:kern w:val="0"/>
          <w:sz w:val="30"/>
          <w:szCs w:val="30"/>
        </w:rPr>
        <w:t>2019</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16</w:t>
      </w:r>
      <w:r>
        <w:rPr>
          <w:rFonts w:ascii="Times New Roman" w:eastAsia="仿宋_GB2312" w:hAnsi="Times New Roman" w:cs="Times New Roman"/>
          <w:kern w:val="0"/>
          <w:sz w:val="30"/>
          <w:szCs w:val="30"/>
        </w:rPr>
        <w:t>号）。</w:t>
      </w:r>
    </w:p>
    <w:p w:rsidR="00665A97" w:rsidRDefault="00665A97" w:rsidP="00665A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《国家外汇管理局关于修订</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个人本外币兑换特许业务试点管理办法</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的通知》（汇发〔</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号）</w:t>
      </w:r>
      <w:r>
        <w:rPr>
          <w:rFonts w:ascii="Times New Roman" w:eastAsia="仿宋_GB2312" w:hAnsi="Times New Roman" w:cs="Times New Roman" w:hint="eastAsia"/>
          <w:kern w:val="0"/>
          <w:sz w:val="30"/>
          <w:szCs w:val="30"/>
        </w:rPr>
        <w:t>。</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665A97" w:rsidRDefault="00665A97" w:rsidP="00665A97">
      <w:pPr>
        <w:adjustRightInd w:val="0"/>
        <w:snapToGrid w:val="0"/>
        <w:spacing w:line="360" w:lineRule="auto"/>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申请人</w:t>
      </w:r>
      <w:r>
        <w:rPr>
          <w:rFonts w:ascii="Times New Roman" w:eastAsia="仿宋_GB2312" w:hAnsi="Times New Roman" w:cs="Times New Roman" w:hint="eastAsia"/>
          <w:spacing w:val="-1"/>
          <w:sz w:val="30"/>
          <w:szCs w:val="30"/>
        </w:rPr>
        <w:t>所在</w:t>
      </w:r>
      <w:r>
        <w:rPr>
          <w:rFonts w:ascii="Times New Roman" w:eastAsia="仿宋_GB2312" w:hAnsi="Times New Roman" w:cs="Times New Roman"/>
          <w:spacing w:val="-1"/>
          <w:sz w:val="30"/>
          <w:szCs w:val="30"/>
        </w:rPr>
        <w:t>地国家外汇管理局分局（外汇管理部）。</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665A97" w:rsidRDefault="00665A97" w:rsidP="00665A97">
      <w:pPr>
        <w:adjustRightInd w:val="0"/>
        <w:snapToGrid w:val="0"/>
        <w:spacing w:line="360" w:lineRule="auto"/>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lastRenderedPageBreak/>
        <w:t>申请人</w:t>
      </w:r>
      <w:r>
        <w:rPr>
          <w:rFonts w:ascii="Times New Roman" w:eastAsia="仿宋_GB2312" w:hAnsi="Times New Roman" w:cs="Times New Roman" w:hint="eastAsia"/>
          <w:spacing w:val="-1"/>
          <w:sz w:val="30"/>
          <w:szCs w:val="30"/>
        </w:rPr>
        <w:t>所在</w:t>
      </w:r>
      <w:r>
        <w:rPr>
          <w:rFonts w:ascii="Times New Roman" w:eastAsia="仿宋_GB2312" w:hAnsi="Times New Roman" w:cs="Times New Roman"/>
          <w:spacing w:val="-1"/>
          <w:sz w:val="30"/>
          <w:szCs w:val="30"/>
        </w:rPr>
        <w:t>地国家外汇管理局分局（外汇管理部）。</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665A97" w:rsidRDefault="00665A97" w:rsidP="00665A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665A97" w:rsidRDefault="00665A97" w:rsidP="00665A97">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申请人为银行总行（或外国银行分行主报告行），需</w:t>
      </w:r>
      <w:r>
        <w:rPr>
          <w:rFonts w:ascii="Times New Roman" w:eastAsia="仿宋_GB2312" w:hAnsi="Times New Roman" w:cs="Times New Roman"/>
          <w:kern w:val="0"/>
          <w:sz w:val="30"/>
          <w:szCs w:val="30"/>
        </w:rPr>
        <w:t>有调运外币现钞进出境的实际需求。个人本外币兑换特许机构办理调运外币现钞业务参见</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银行、农村信用社、兑换机构及非金融机构等结汇、售汇业务市场准入、退出审批</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行政审批服务指南（编号</w:t>
      </w:r>
      <w:r>
        <w:rPr>
          <w:rFonts w:ascii="Times New Roman" w:eastAsia="仿宋_GB2312" w:hAnsi="Times New Roman" w:cs="Times New Roman"/>
          <w:kern w:val="0"/>
          <w:sz w:val="30"/>
          <w:szCs w:val="30"/>
        </w:rPr>
        <w:t>57013</w:t>
      </w:r>
      <w:r>
        <w:rPr>
          <w:rFonts w:ascii="Times New Roman" w:eastAsia="仿宋_GB2312" w:hAnsi="Times New Roman" w:cs="Times New Roman"/>
          <w:kern w:val="0"/>
          <w:sz w:val="30"/>
          <w:szCs w:val="30"/>
        </w:rPr>
        <w:t>）。</w:t>
      </w:r>
    </w:p>
    <w:p w:rsidR="00665A97" w:rsidRDefault="00665A97" w:rsidP="00665A97">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Style w:val="a6"/>
        <w:tblW w:w="8522" w:type="dxa"/>
        <w:tblLayout w:type="fixed"/>
        <w:tblLook w:val="04A0"/>
      </w:tblPr>
      <w:tblGrid>
        <w:gridCol w:w="685"/>
        <w:gridCol w:w="3739"/>
        <w:gridCol w:w="1006"/>
        <w:gridCol w:w="719"/>
        <w:gridCol w:w="862"/>
        <w:gridCol w:w="719"/>
        <w:gridCol w:w="792"/>
      </w:tblGrid>
      <w:tr w:rsidR="00665A97" w:rsidTr="00486878">
        <w:trPr>
          <w:cantSplit/>
          <w:trHeight w:val="20"/>
        </w:trPr>
        <w:tc>
          <w:tcPr>
            <w:tcW w:w="685" w:type="dxa"/>
            <w:vAlign w:val="center"/>
          </w:tcPr>
          <w:p w:rsidR="00665A97" w:rsidRDefault="00665A97"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739" w:type="dxa"/>
            <w:vAlign w:val="center"/>
          </w:tcPr>
          <w:p w:rsidR="00665A97" w:rsidRDefault="00665A97"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006" w:type="dxa"/>
            <w:vAlign w:val="center"/>
          </w:tcPr>
          <w:p w:rsidR="00665A97" w:rsidRDefault="00665A97"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19" w:type="dxa"/>
            <w:vAlign w:val="center"/>
          </w:tcPr>
          <w:p w:rsidR="00665A97" w:rsidRDefault="00665A97"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62" w:type="dxa"/>
            <w:vAlign w:val="center"/>
          </w:tcPr>
          <w:p w:rsidR="00665A97" w:rsidRDefault="00665A97"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19" w:type="dxa"/>
            <w:vAlign w:val="center"/>
          </w:tcPr>
          <w:p w:rsidR="00665A97" w:rsidRDefault="00665A97"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92" w:type="dxa"/>
            <w:vAlign w:val="center"/>
          </w:tcPr>
          <w:p w:rsidR="00665A97" w:rsidRDefault="00665A97" w:rsidP="0048687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65A97" w:rsidTr="00486878">
        <w:trPr>
          <w:cantSplit/>
          <w:trHeight w:val="20"/>
        </w:trPr>
        <w:tc>
          <w:tcPr>
            <w:tcW w:w="685"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739"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银行办理调运外币现钞进出境</w:t>
            </w:r>
          </w:p>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业务备案表</w:t>
            </w:r>
          </w:p>
        </w:tc>
        <w:tc>
          <w:tcPr>
            <w:tcW w:w="1006"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62"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65A97" w:rsidRDefault="00665A97" w:rsidP="00486878">
            <w:pPr>
              <w:jc w:val="left"/>
              <w:rPr>
                <w:rFonts w:ascii="Times New Roman" w:eastAsia="仿宋_GB2312" w:hAnsi="Times New Roman" w:cs="Times New Roman"/>
                <w:sz w:val="24"/>
                <w:szCs w:val="24"/>
              </w:rPr>
            </w:pPr>
          </w:p>
        </w:tc>
        <w:tc>
          <w:tcPr>
            <w:tcW w:w="792" w:type="dxa"/>
            <w:vMerge w:val="restart"/>
            <w:vAlign w:val="center"/>
          </w:tcPr>
          <w:p w:rsidR="00665A97" w:rsidRDefault="00665A97" w:rsidP="00486878">
            <w:pPr>
              <w:jc w:val="center"/>
              <w:rPr>
                <w:rFonts w:ascii="Times New Roman" w:eastAsia="仿宋_GB2312" w:hAnsi="Times New Roman" w:cs="Times New Roman"/>
                <w:sz w:val="24"/>
                <w:szCs w:val="24"/>
              </w:rPr>
            </w:pPr>
          </w:p>
        </w:tc>
      </w:tr>
      <w:tr w:rsidR="00665A97" w:rsidTr="00486878">
        <w:trPr>
          <w:cantSplit/>
          <w:trHeight w:val="20"/>
        </w:trPr>
        <w:tc>
          <w:tcPr>
            <w:tcW w:w="685"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739"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可行性报告和业务计划书</w:t>
            </w:r>
          </w:p>
        </w:tc>
        <w:tc>
          <w:tcPr>
            <w:tcW w:w="1006"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62"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65A97" w:rsidRDefault="00665A97" w:rsidP="00486878">
            <w:pPr>
              <w:jc w:val="center"/>
              <w:rPr>
                <w:rFonts w:ascii="Times New Roman" w:eastAsia="仿宋_GB2312" w:hAnsi="Times New Roman" w:cs="Times New Roman"/>
                <w:sz w:val="24"/>
                <w:szCs w:val="24"/>
              </w:rPr>
            </w:pPr>
          </w:p>
        </w:tc>
        <w:tc>
          <w:tcPr>
            <w:tcW w:w="792" w:type="dxa"/>
            <w:vMerge/>
            <w:vAlign w:val="center"/>
          </w:tcPr>
          <w:p w:rsidR="00665A97" w:rsidRDefault="00665A97" w:rsidP="00486878">
            <w:pPr>
              <w:jc w:val="center"/>
              <w:rPr>
                <w:rFonts w:ascii="Times New Roman" w:eastAsia="仿宋_GB2312" w:hAnsi="Times New Roman" w:cs="Times New Roman"/>
                <w:sz w:val="24"/>
                <w:szCs w:val="24"/>
              </w:rPr>
            </w:pPr>
          </w:p>
        </w:tc>
      </w:tr>
      <w:tr w:rsidR="00665A97" w:rsidTr="00486878">
        <w:trPr>
          <w:cantSplit/>
          <w:trHeight w:val="20"/>
        </w:trPr>
        <w:tc>
          <w:tcPr>
            <w:tcW w:w="685"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739"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调运外币现钞进出境</w:t>
            </w:r>
          </w:p>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业务管理制度</w:t>
            </w:r>
          </w:p>
        </w:tc>
        <w:tc>
          <w:tcPr>
            <w:tcW w:w="1006"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62"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65A97" w:rsidRDefault="00665A97" w:rsidP="00486878">
            <w:pPr>
              <w:jc w:val="center"/>
              <w:rPr>
                <w:rFonts w:ascii="Times New Roman" w:eastAsia="仿宋_GB2312" w:hAnsi="Times New Roman" w:cs="Times New Roman"/>
                <w:sz w:val="24"/>
                <w:szCs w:val="24"/>
              </w:rPr>
            </w:pPr>
          </w:p>
        </w:tc>
        <w:tc>
          <w:tcPr>
            <w:tcW w:w="792" w:type="dxa"/>
            <w:vMerge/>
            <w:vAlign w:val="center"/>
          </w:tcPr>
          <w:p w:rsidR="00665A97" w:rsidRDefault="00665A97" w:rsidP="00486878">
            <w:pPr>
              <w:jc w:val="center"/>
              <w:rPr>
                <w:rFonts w:ascii="Times New Roman" w:eastAsia="仿宋_GB2312" w:hAnsi="Times New Roman" w:cs="Times New Roman"/>
                <w:sz w:val="24"/>
                <w:szCs w:val="24"/>
              </w:rPr>
            </w:pPr>
          </w:p>
        </w:tc>
      </w:tr>
    </w:tbl>
    <w:p w:rsidR="0036640A" w:rsidRDefault="0036640A" w:rsidP="00665A97">
      <w:pPr>
        <w:adjustRightInd w:val="0"/>
        <w:snapToGrid w:val="0"/>
        <w:spacing w:line="360" w:lineRule="auto"/>
        <w:ind w:firstLineChars="200" w:firstLine="600"/>
        <w:rPr>
          <w:rFonts w:ascii="Times New Roman" w:eastAsia="黑体" w:hAnsi="Times New Roman" w:cs="Times New Roman" w:hint="eastAsia"/>
          <w:sz w:val="30"/>
          <w:szCs w:val="30"/>
        </w:rPr>
      </w:pP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665A97" w:rsidRDefault="00665A97" w:rsidP="00665A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665A97" w:rsidRDefault="00665A97" w:rsidP="00665A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新办流程</w:t>
      </w:r>
    </w:p>
    <w:p w:rsidR="00665A97" w:rsidRDefault="00665A97" w:rsidP="00665A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）申请人持《银行办理调运外币现钞进出境业务备案表》（一式两份）及有关材料，向所在地国家外汇管理局分局（外汇管理部）进行备案。</w:t>
      </w:r>
    </w:p>
    <w:p w:rsidR="00665A97" w:rsidRDefault="00665A97" w:rsidP="00665A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）分局（外汇管理部）收到申请人内容齐全的备案材料后，在其提交的《银行办理调运外币现钞进出境业务备案表》上加盖签章予以确认，并将其中一份备案表退还申请人留存。</w:t>
      </w:r>
    </w:p>
    <w:p w:rsidR="00665A97" w:rsidRDefault="00665A97" w:rsidP="00665A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）分局（外汇管理部）应自申请人备案之日起</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个工作日内将备案银行情况书面通知当地直属海关，同时抄送国家外汇管理局及辖内中心支局、支局；当地直属海关收到当地分局（外汇管理部）通知后，应在</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个工作日内转报海关总署。</w:t>
      </w:r>
    </w:p>
    <w:p w:rsidR="00665A97" w:rsidRDefault="00665A97" w:rsidP="00665A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停办流程</w:t>
      </w:r>
    </w:p>
    <w:p w:rsidR="00665A97" w:rsidRDefault="00665A97" w:rsidP="00665A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已获得调运外币现钞进出境业务资格的申请人停办调运外币现钞进出境业务，应当自停办业务之日前</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个工作日由其总行向所在地分局（外汇管理部）提交《银行停办调运外币现钞进出境业务备案表》履行停办备案手续。分局（外汇管理部）按照新办流程中第三条程序分别通知有关部门。</w:t>
      </w:r>
    </w:p>
    <w:p w:rsidR="00665A97" w:rsidRDefault="00665A97" w:rsidP="00665A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材料不全或不符合法定形式的，一次性告知补正材料，并出具《行政许可补正通知书》。</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665A97" w:rsidRDefault="00665A97" w:rsidP="00665A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一般程序：申请、受理、初审、作出审批决定、出具审批文件。</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665A97" w:rsidRDefault="00665A97" w:rsidP="00665A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个工作日。</w:t>
      </w:r>
    </w:p>
    <w:p w:rsidR="00665A97" w:rsidRDefault="00665A97" w:rsidP="00665A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665A97" w:rsidRDefault="00665A97" w:rsidP="00665A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加盖国家外汇管理局分局（外汇管理部）签章的《银行调运</w:t>
      </w:r>
      <w:r>
        <w:rPr>
          <w:rFonts w:ascii="Times New Roman" w:eastAsia="仿宋_GB2312" w:hAnsi="Times New Roman" w:cs="Times New Roman"/>
          <w:sz w:val="30"/>
          <w:szCs w:val="30"/>
        </w:rPr>
        <w:lastRenderedPageBreak/>
        <w:t>外币现钞进出境业务备案表》</w:t>
      </w:r>
    </w:p>
    <w:p w:rsidR="00665A97" w:rsidRDefault="00665A97" w:rsidP="00665A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665A97" w:rsidRDefault="00665A97" w:rsidP="00665A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665A97" w:rsidRDefault="00665A97" w:rsidP="00665A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665A97" w:rsidRDefault="00665A97" w:rsidP="00665A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665A97" w:rsidRDefault="00665A97" w:rsidP="00665A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办公地址：</w:t>
      </w:r>
      <w:r>
        <w:rPr>
          <w:rFonts w:ascii="Times New Roman" w:eastAsia="仿宋_GB2312" w:hAnsi="Times New Roman" w:cs="Times New Roman" w:hint="eastAsia"/>
          <w:sz w:val="30"/>
          <w:szCs w:val="30"/>
        </w:rPr>
        <w:t>天津市和平区解放北路</w:t>
      </w:r>
      <w:r>
        <w:rPr>
          <w:rFonts w:ascii="Times New Roman" w:eastAsia="仿宋_GB2312" w:hAnsi="Times New Roman" w:cs="Times New Roman" w:hint="eastAsia"/>
          <w:sz w:val="30"/>
          <w:szCs w:val="30"/>
        </w:rPr>
        <w:t>117</w:t>
      </w:r>
      <w:r>
        <w:rPr>
          <w:rFonts w:ascii="Times New Roman" w:eastAsia="仿宋_GB2312" w:hAnsi="Times New Roman" w:cs="Times New Roman" w:hint="eastAsia"/>
          <w:sz w:val="30"/>
          <w:szCs w:val="30"/>
        </w:rPr>
        <w:t>号。</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办公时间：</w:t>
      </w:r>
      <w:r>
        <w:rPr>
          <w:rFonts w:ascii="仿宋_GB2312" w:eastAsia="仿宋_GB2312" w:hint="eastAsia"/>
          <w:sz w:val="30"/>
          <w:szCs w:val="30"/>
        </w:rPr>
        <w:t>周一到周五（法定节假日除外）上午8：30-12：00，下午14：00-17：00</w:t>
      </w:r>
      <w:r>
        <w:rPr>
          <w:rFonts w:ascii="Times New Roman" w:eastAsia="仿宋_GB2312" w:hAnsi="Times New Roman" w:cs="Times New Roman" w:hint="eastAsia"/>
          <w:sz w:val="30"/>
          <w:szCs w:val="30"/>
        </w:rPr>
        <w:t>。</w:t>
      </w:r>
    </w:p>
    <w:p w:rsidR="00665A97" w:rsidRDefault="00665A97" w:rsidP="00665A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详见（五）办事条件。</w:t>
      </w:r>
    </w:p>
    <w:p w:rsidR="00665A97" w:rsidRDefault="00665A97" w:rsidP="00665A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665A97" w:rsidRDefault="00665A97" w:rsidP="00665A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665A97" w:rsidRDefault="00665A97" w:rsidP="00665A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022-23209703</w:t>
      </w:r>
    </w:p>
    <w:p w:rsidR="00665A97" w:rsidRDefault="00665A97" w:rsidP="00665A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2"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w:t>
      </w:r>
      <w:r>
        <w:rPr>
          <w:rFonts w:ascii="Times New Roman" w:eastAsia="仿宋_GB2312" w:hAnsi="Times New Roman" w:cs="Times New Roman" w:hint="eastAsia"/>
          <w:sz w:val="30"/>
          <w:szCs w:val="30"/>
          <w:lang w:val="zh-CN" w:bidi="zh-CN"/>
        </w:rPr>
        <w:lastRenderedPageBreak/>
        <w:t>至天津市分局</w:t>
      </w:r>
    </w:p>
    <w:p w:rsidR="00665A97" w:rsidRDefault="00665A97" w:rsidP="00665A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665A97" w:rsidRDefault="00665A97" w:rsidP="00665A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022-23209239</w:t>
      </w:r>
    </w:p>
    <w:p w:rsidR="00665A97" w:rsidRDefault="00665A97" w:rsidP="00665A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3"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665A97" w:rsidRDefault="00665A97" w:rsidP="00665A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见附表</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、附表</w:t>
      </w: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p>
    <w:p w:rsidR="00665A97" w:rsidRDefault="00665A97" w:rsidP="00665A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（二十二）常见问题解答</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个工作日以内。</w:t>
      </w:r>
    </w:p>
    <w:p w:rsidR="00665A97" w:rsidRDefault="00665A97" w:rsidP="00665A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665A97" w:rsidRDefault="00665A97" w:rsidP="00665A97">
      <w:pPr>
        <w:adjustRightInd w:val="0"/>
        <w:snapToGrid w:val="0"/>
        <w:spacing w:line="360" w:lineRule="auto"/>
        <w:ind w:firstLine="600"/>
        <w:rPr>
          <w:rFonts w:ascii="Times New Roman" w:eastAsia="仿宋_GB2312" w:hAnsi="Times New Roman" w:cs="Times New Roman"/>
          <w:sz w:val="30"/>
          <w:szCs w:val="30"/>
        </w:rPr>
        <w:sectPr w:rsidR="00665A97">
          <w:footerReference w:type="default" r:id="rId14"/>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sz w:val="30"/>
          <w:szCs w:val="30"/>
        </w:rPr>
        <w:t>申请材料要件不全。</w:t>
      </w:r>
    </w:p>
    <w:p w:rsidR="00665A97" w:rsidRDefault="00665A97" w:rsidP="00665A9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665A97" w:rsidRDefault="00665A97" w:rsidP="00665A97">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665A97" w:rsidRDefault="00665A97" w:rsidP="00665A97">
      <w:pPr>
        <w:ind w:right="300"/>
        <w:rPr>
          <w:rFonts w:ascii="Times New Roman" w:hAnsi="Times New Roman" w:cs="Times New Roman"/>
        </w:rPr>
      </w:pPr>
      <w:r>
        <w:rPr>
          <w:rFonts w:ascii="Times New Roman" w:hAnsi="Times New Roman" w:cs="Times New Roman"/>
        </w:rPr>
        <w:pict>
          <v:group id="Group 67" o:spid="_x0000_s1026" style="position:absolute;left:0;text-align:left;margin-left:-41.35pt;margin-top:16.05pt;width:474.15pt;height:439.05pt;z-index:251660288" coordorigin="718,3009" coordsize="9483,8781">
            <v:roundrect id="圆角矩形 20" o:spid="_x0000_s1027" style="position:absolute;left:1298;top:3009;width:2979;height:1684" arcsize="10923f" o:preferrelative="t">
              <v:stroke miterlimit="2"/>
              <v:textbox>
                <w:txbxContent>
                  <w:p w:rsidR="00665A97" w:rsidRDefault="00665A97" w:rsidP="00665A97">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665A97" w:rsidRDefault="00665A97" w:rsidP="00665A97"/>
                </w:txbxContent>
              </v:textbox>
            </v:roundrect>
            <v:roundrect id="圆角矩形 17" o:spid="_x0000_s1028" style="position:absolute;left:7272;top:4592;width:2929;height:674" arcsize="10923f" o:preferrelative="t">
              <v:stroke miterlimit="2"/>
              <v:textbox>
                <w:txbxContent>
                  <w:p w:rsidR="00665A97" w:rsidRDefault="00665A97" w:rsidP="00665A97">
                    <w:pPr>
                      <w:ind w:firstLineChars="200" w:firstLine="420"/>
                    </w:pPr>
                    <w:r>
                      <w:rPr>
                        <w:rFonts w:hint="eastAsia"/>
                      </w:rPr>
                      <w:t>申请人补全材料</w:t>
                    </w:r>
                  </w:p>
                </w:txbxContent>
              </v:textbox>
            </v:roundrect>
            <v:roundrect id="圆角矩形 10" o:spid="_x0000_s1029" style="position:absolute;left:4730;top:5541;width:5362;height:500" arcsize="10923f" o:preferrelative="t">
              <v:stroke miterlimit="2"/>
              <v:textbox>
                <w:txbxContent>
                  <w:p w:rsidR="00665A97" w:rsidRDefault="00665A97" w:rsidP="00665A97">
                    <w:r>
                      <w:rPr>
                        <w:rFonts w:hint="eastAsia"/>
                      </w:rPr>
                      <w:t>材料不全或不符合法定形式的，一次性告知补正材料</w:t>
                    </w:r>
                  </w:p>
                </w:txbxContent>
              </v:textbox>
            </v:roundrect>
            <v:roundrect id="圆角矩形 8" o:spid="_x0000_s1030" style="position:absolute;left:4699;top:6297;width:5362;height:906" arcsize="10923f" o:preferrelative="t">
              <v:stroke miterlimit="2"/>
              <v:textbox>
                <w:txbxContent>
                  <w:p w:rsidR="00665A97" w:rsidRDefault="00665A97" w:rsidP="00665A97">
                    <w:r>
                      <w:rPr>
                        <w:rFonts w:hint="eastAsia"/>
                      </w:rPr>
                      <w:t>依法不予受理的，作出不予受理决定，出具不予受理通知书</w:t>
                    </w:r>
                  </w:p>
                </w:txbxContent>
              </v:textbox>
            </v:roundrect>
            <v:roundrect id="圆角矩形 14" o:spid="_x0000_s1031" style="position:absolute;left:3434;top:7971;width:4218;height:603" arcsize="10923f" o:preferrelative="t">
              <v:stroke miterlimit="2"/>
              <v:textbox>
                <w:txbxContent>
                  <w:p w:rsidR="00665A97" w:rsidRDefault="00665A97" w:rsidP="00665A97">
                    <w:pPr>
                      <w:ind w:firstLineChars="250" w:firstLine="525"/>
                    </w:pPr>
                    <w:r>
                      <w:rPr>
                        <w:rFonts w:hint="eastAsia"/>
                      </w:rPr>
                      <w:t>依法应予受理，出具受理单</w:t>
                    </w:r>
                  </w:p>
                </w:txbxContent>
              </v:textbox>
            </v:roundrect>
            <v:roundrect id="圆角矩形 1" o:spid="_x0000_s1032" style="position:absolute;left:3434;top:9011;width:4219;height:702" arcsize="10923f" o:preferrelative="t">
              <v:stroke miterlimit="2"/>
              <v:textbox>
                <w:txbxContent>
                  <w:p w:rsidR="00665A97" w:rsidRDefault="00665A97" w:rsidP="00665A97">
                    <w:pPr>
                      <w:jc w:val="center"/>
                    </w:pPr>
                    <w:r>
                      <w:rPr>
                        <w:rFonts w:hint="eastAsia"/>
                      </w:rPr>
                      <w:t>审查报批</w:t>
                    </w:r>
                  </w:p>
                </w:txbxContent>
              </v:textbox>
            </v:roundrect>
            <v:roundrect id="圆角矩形 5" o:spid="_x0000_s1033" style="position:absolute;left:6174;top:10618;width:3617;height:1172" arcsize="10923f" o:preferrelative="t">
              <v:stroke miterlimit="2"/>
              <v:textbox>
                <w:txbxContent>
                  <w:p w:rsidR="00665A97" w:rsidRDefault="00665A97" w:rsidP="00665A97">
                    <w:r>
                      <w:rPr>
                        <w:rFonts w:hint="eastAsia"/>
                      </w:rPr>
                      <w:t>依法作出不予许可决定，并送达</w:t>
                    </w:r>
                  </w:p>
                </w:txbxContent>
              </v:textbox>
            </v:roundrect>
            <v:roundrect id="圆角矩形 4" o:spid="_x0000_s1034" style="position:absolute;left:1848;top:10618;width:3952;height:1172" arcsize="10923f" o:preferrelative="t">
              <v:stroke miterlimit="2"/>
              <v:textbox>
                <w:txbxContent>
                  <w:p w:rsidR="00665A97" w:rsidRDefault="00665A97" w:rsidP="00665A97">
                    <w:r>
                      <w:rPr>
                        <w:rFonts w:hint="eastAsia"/>
                      </w:rPr>
                      <w:t>予以许可，向申请人出具加盖签章的备案表</w:t>
                    </w:r>
                  </w:p>
                </w:txbxContent>
              </v:textbox>
            </v:roundrect>
            <v:shapetype id="_x0000_t32" coordsize="21600,21600" o:spt="32" o:oned="t" path="m,l21600,21600e" filled="f">
              <v:path arrowok="t" fillok="f" o:connecttype="none"/>
              <o:lock v:ext="edit" shapetype="t"/>
            </v:shapetype>
            <v:shape id="直接箭头连接符 18" o:spid="_x0000_s1035" type="#_x0000_t32" style="position:absolute;left:2360;top:4941;width:499;height:0;rotation:90" o:preferrelative="t" filled="t">
              <v:stroke endarrow="block" miterlimit="2"/>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1" o:spid="_x0000_s1036" type="#_x0000_t34" style="position:absolute;left:3525;top:5655;width:1172;height:1" o:preferrelative="t" filled="t">
              <v:stroke endarrow="block" miterlimit="2"/>
            </v:shape>
            <v:shape id="直接箭头连接符 7" o:spid="_x0000_s1037" type="#_x0000_t34" style="position:absolute;left:3525;top:6735;width:1172;height:1" o:preferrelative="t" filled="t">
              <v:stroke endarrow="block" miterlimit="2"/>
            </v:shape>
            <v:shape id="直接箭头连接符 19" o:spid="_x0000_s1038" type="#_x0000_t32" style="position:absolute;left:2629;top:4981;width:4643;height:1;flip:x" o:preferrelative="t" filled="t">
              <v:stroke endarrow="block" miterlimit="2"/>
            </v:shape>
            <v:shape id="直接箭头连接符 13" o:spid="_x0000_s1039" type="#_x0000_t32" style="position:absolute;left:5490;top:8574;width:0;height:437" o:preferrelative="t" filled="t">
              <v:stroke endarrow="block" miterlimit="2"/>
            </v:shape>
            <v:shape id="直接箭头连接符 3" o:spid="_x0000_s1040" type="#_x0000_t32" style="position:absolute;left:6771;top:9713;width:17;height:905" o:preferrelative="t" filled="t">
              <v:stroke endarrow="block" miterlimit="2"/>
            </v:shape>
            <v:shape id="直接箭头连接符 2" o:spid="_x0000_s1041" type="#_x0000_t32" style="position:absolute;left:4289;top:9713;width:1;height:905" o:preferrelative="t" filled="t">
              <v:stroke endarrow="block" miterlimit="2"/>
            </v:shape>
            <v:shape id="直接箭头连接符 15" o:spid="_x0000_s1042" type="#_x0000_t32" style="position:absolute;left:2612;top:6826;width:0;height:1391" o:preferrelative="t" filled="t">
              <v:stroke miterlimit="2"/>
            </v:shape>
            <v:shape id="直接箭头连接符 16" o:spid="_x0000_s1043" type="#_x0000_t32" style="position:absolute;left:2612;top:8217;width:822;height:0" o:preferrelative="t" filled="t">
              <v:stroke endarrow="block" miterlimit="2"/>
            </v:shape>
            <v:shapetype id="_x0000_t110" coordsize="21600,21600" o:spt="110" path="m10800,l,10800,10800,21600,21600,10800xe">
              <v:stroke joinstyle="miter"/>
              <v:path gradientshapeok="t" o:connecttype="rect" textboxrect="5400,5400,16200,16200"/>
            </v:shapetype>
            <v:shape id="流程图: 决策 6" o:spid="_x0000_s1044" type="#_x0000_t110" style="position:absolute;left:718;top:5192;width:3796;height:2011" o:preferrelative="t">
              <v:stroke miterlimit="2"/>
              <v:textbox>
                <w:txbxContent>
                  <w:p w:rsidR="00665A97" w:rsidRDefault="00665A97" w:rsidP="00665A97">
                    <w:r>
                      <w:rPr>
                        <w:rFonts w:hint="eastAsia"/>
                      </w:rPr>
                      <w:t>接件并当场（或</w:t>
                    </w:r>
                    <w:r>
                      <w:rPr>
                        <w:rFonts w:hint="eastAsia"/>
                      </w:rPr>
                      <w:t>5</w:t>
                    </w:r>
                    <w:r>
                      <w:rPr>
                        <w:rFonts w:hint="eastAsia"/>
                      </w:rPr>
                      <w:t>个工作日）作出是否受理决定</w:t>
                    </w:r>
                  </w:p>
                  <w:p w:rsidR="00665A97" w:rsidRDefault="00665A97" w:rsidP="00665A97"/>
                </w:txbxContent>
              </v:textbox>
            </v:shape>
            <v:shape id="Straight Connector 86" o:spid="_x0000_s1045" type="#_x0000_t32" style="position:absolute;left:8910;top:5266;width:1;height:275;flip:y" o:connectortype="straight" o:preferrelative="t">
              <v:stroke endarrow="block" miterlimit="2"/>
            </v:shape>
          </v:group>
        </w:pict>
      </w:r>
    </w:p>
    <w:p w:rsidR="00665A97" w:rsidRDefault="00665A97" w:rsidP="00665A97">
      <w:pPr>
        <w:widowControl/>
        <w:jc w:val="left"/>
        <w:rPr>
          <w:rFonts w:ascii="Times New Roman" w:eastAsia="仿宋_GB2312" w:hAnsi="Times New Roman" w:cs="Times New Roman"/>
          <w:sz w:val="34"/>
          <w:szCs w:val="34"/>
        </w:rPr>
      </w:pPr>
    </w:p>
    <w:p w:rsidR="00665A97" w:rsidRDefault="00665A97" w:rsidP="00665A97">
      <w:pPr>
        <w:widowControl/>
        <w:jc w:val="left"/>
        <w:rPr>
          <w:rFonts w:ascii="Times New Roman" w:eastAsia="仿宋_GB2312" w:hAnsi="Times New Roman" w:cs="Times New Roman"/>
          <w:sz w:val="34"/>
          <w:szCs w:val="34"/>
        </w:rPr>
      </w:pPr>
      <w:r>
        <w:rPr>
          <w:rFonts w:ascii="Times New Roman" w:eastAsia="仿宋_GB2312" w:hAnsi="Times New Roman" w:cs="Times New Roman"/>
          <w:sz w:val="34"/>
          <w:szCs w:val="34"/>
        </w:rPr>
        <w:br w:type="page"/>
      </w:r>
    </w:p>
    <w:p w:rsidR="00665A97" w:rsidRDefault="00665A97" w:rsidP="00665A97">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1</w:t>
      </w:r>
    </w:p>
    <w:p w:rsidR="00665A97" w:rsidRDefault="00665A97" w:rsidP="00665A97">
      <w:pPr>
        <w:spacing w:line="360" w:lineRule="auto"/>
        <w:rPr>
          <w:rFonts w:ascii="Times New Roman" w:eastAsia="仿宋_GB2312" w:hAnsi="Times New Roman" w:cs="Times New Roman"/>
          <w:sz w:val="34"/>
          <w:szCs w:val="34"/>
        </w:rPr>
      </w:pPr>
    </w:p>
    <w:p w:rsidR="00665A97" w:rsidRDefault="00665A97" w:rsidP="00665A97">
      <w:pPr>
        <w:spacing w:afterLines="100"/>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银行办理调运外币现钞进出境业务备案表（示范文本）</w:t>
      </w:r>
    </w:p>
    <w:tbl>
      <w:tblPr>
        <w:tblStyle w:val="a6"/>
        <w:tblW w:w="8352" w:type="dxa"/>
        <w:tblLayout w:type="fixed"/>
        <w:tblLook w:val="04A0"/>
      </w:tblPr>
      <w:tblGrid>
        <w:gridCol w:w="1391"/>
        <w:gridCol w:w="1552"/>
        <w:gridCol w:w="1231"/>
        <w:gridCol w:w="1392"/>
        <w:gridCol w:w="1393"/>
        <w:gridCol w:w="1393"/>
      </w:tblGrid>
      <w:tr w:rsidR="00665A97" w:rsidTr="00486878">
        <w:trPr>
          <w:trHeight w:val="489"/>
        </w:trPr>
        <w:tc>
          <w:tcPr>
            <w:tcW w:w="1391" w:type="dxa"/>
            <w:vAlign w:val="center"/>
          </w:tcPr>
          <w:p w:rsidR="00665A97" w:rsidRDefault="00665A97" w:rsidP="0048687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6961" w:type="dxa"/>
            <w:gridSpan w:val="5"/>
          </w:tcPr>
          <w:p w:rsidR="00665A97" w:rsidRDefault="00665A97" w:rsidP="00486878">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665A97" w:rsidTr="00486878">
        <w:trPr>
          <w:trHeight w:val="708"/>
        </w:trPr>
        <w:tc>
          <w:tcPr>
            <w:tcW w:w="1391"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6961" w:type="dxa"/>
            <w:gridSpan w:val="5"/>
          </w:tcPr>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XXXXXXXXX</w:t>
            </w:r>
          </w:p>
        </w:tc>
      </w:tr>
      <w:tr w:rsidR="00665A97" w:rsidTr="00486878">
        <w:tc>
          <w:tcPr>
            <w:tcW w:w="1391"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备案材料</w:t>
            </w:r>
          </w:p>
        </w:tc>
        <w:tc>
          <w:tcPr>
            <w:tcW w:w="6961" w:type="dxa"/>
            <w:gridSpan w:val="5"/>
          </w:tcPr>
          <w:p w:rsidR="00665A97" w:rsidRDefault="00665A97" w:rsidP="00486878">
            <w:pPr>
              <w:spacing w:beforeLines="3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可行性报告和业务计划书</w:t>
            </w:r>
          </w:p>
          <w:p w:rsidR="00665A97" w:rsidRDefault="00665A97" w:rsidP="00486878">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调运外币现钞进出境业务管理制度</w:t>
            </w:r>
          </w:p>
        </w:tc>
      </w:tr>
      <w:tr w:rsidR="00665A97" w:rsidTr="00486878">
        <w:tc>
          <w:tcPr>
            <w:tcW w:w="1391" w:type="dxa"/>
            <w:vMerge w:val="restart"/>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联系人员</w:t>
            </w:r>
          </w:p>
        </w:tc>
        <w:tc>
          <w:tcPr>
            <w:tcW w:w="1552"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职责</w:t>
            </w:r>
          </w:p>
        </w:tc>
        <w:tc>
          <w:tcPr>
            <w:tcW w:w="1231"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392"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w:t>
            </w:r>
          </w:p>
        </w:tc>
        <w:tc>
          <w:tcPr>
            <w:tcW w:w="1393"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393"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r>
      <w:tr w:rsidR="00665A97" w:rsidTr="00486878">
        <w:tc>
          <w:tcPr>
            <w:tcW w:w="1391" w:type="dxa"/>
            <w:vMerge/>
            <w:vAlign w:val="center"/>
          </w:tcPr>
          <w:p w:rsidR="00665A97" w:rsidRDefault="00665A97" w:rsidP="00486878">
            <w:pPr>
              <w:jc w:val="center"/>
              <w:rPr>
                <w:rFonts w:ascii="Times New Roman" w:eastAsia="仿宋_GB2312" w:hAnsi="Times New Roman" w:cs="Times New Roman"/>
                <w:sz w:val="24"/>
                <w:szCs w:val="24"/>
              </w:rPr>
            </w:pPr>
          </w:p>
        </w:tc>
        <w:tc>
          <w:tcPr>
            <w:tcW w:w="1552"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主管行长</w:t>
            </w:r>
          </w:p>
        </w:tc>
        <w:tc>
          <w:tcPr>
            <w:tcW w:w="1231" w:type="dxa"/>
          </w:tcPr>
          <w:p w:rsidR="00665A97" w:rsidRDefault="00665A97" w:rsidP="00486878">
            <w:pPr>
              <w:rPr>
                <w:rFonts w:ascii="Times New Roman" w:eastAsia="仿宋_GB2312" w:hAnsi="Times New Roman" w:cs="Times New Roman"/>
                <w:sz w:val="24"/>
                <w:szCs w:val="24"/>
              </w:rPr>
            </w:pPr>
          </w:p>
        </w:tc>
        <w:tc>
          <w:tcPr>
            <w:tcW w:w="1392" w:type="dxa"/>
          </w:tcPr>
          <w:p w:rsidR="00665A97" w:rsidRDefault="00665A97" w:rsidP="00486878">
            <w:pPr>
              <w:rPr>
                <w:rFonts w:ascii="Times New Roman" w:eastAsia="仿宋_GB2312" w:hAnsi="Times New Roman" w:cs="Times New Roman"/>
                <w:sz w:val="24"/>
                <w:szCs w:val="24"/>
              </w:rPr>
            </w:pPr>
          </w:p>
        </w:tc>
        <w:tc>
          <w:tcPr>
            <w:tcW w:w="1393" w:type="dxa"/>
          </w:tcPr>
          <w:p w:rsidR="00665A97" w:rsidRDefault="00665A97" w:rsidP="00486878">
            <w:pPr>
              <w:rPr>
                <w:rFonts w:ascii="Times New Roman" w:eastAsia="仿宋_GB2312" w:hAnsi="Times New Roman" w:cs="Times New Roman"/>
                <w:sz w:val="24"/>
                <w:szCs w:val="24"/>
              </w:rPr>
            </w:pPr>
          </w:p>
        </w:tc>
        <w:tc>
          <w:tcPr>
            <w:tcW w:w="1393" w:type="dxa"/>
          </w:tcPr>
          <w:p w:rsidR="00665A97" w:rsidRDefault="00665A97" w:rsidP="00486878">
            <w:pPr>
              <w:rPr>
                <w:rFonts w:ascii="Times New Roman" w:eastAsia="仿宋_GB2312" w:hAnsi="Times New Roman" w:cs="Times New Roman"/>
                <w:sz w:val="24"/>
                <w:szCs w:val="24"/>
              </w:rPr>
            </w:pPr>
          </w:p>
        </w:tc>
      </w:tr>
      <w:tr w:rsidR="00665A97" w:rsidTr="00486878">
        <w:tc>
          <w:tcPr>
            <w:tcW w:w="1391" w:type="dxa"/>
            <w:vMerge/>
            <w:vAlign w:val="center"/>
          </w:tcPr>
          <w:p w:rsidR="00665A97" w:rsidRDefault="00665A97" w:rsidP="00486878">
            <w:pPr>
              <w:jc w:val="center"/>
              <w:rPr>
                <w:rFonts w:ascii="Times New Roman" w:eastAsia="仿宋_GB2312" w:hAnsi="Times New Roman" w:cs="Times New Roman"/>
                <w:sz w:val="24"/>
                <w:szCs w:val="24"/>
              </w:rPr>
            </w:pPr>
          </w:p>
        </w:tc>
        <w:tc>
          <w:tcPr>
            <w:tcW w:w="1552"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部门负责人</w:t>
            </w:r>
          </w:p>
        </w:tc>
        <w:tc>
          <w:tcPr>
            <w:tcW w:w="1231" w:type="dxa"/>
          </w:tcPr>
          <w:p w:rsidR="00665A97" w:rsidRDefault="00665A97" w:rsidP="00486878">
            <w:pPr>
              <w:rPr>
                <w:rFonts w:ascii="Times New Roman" w:eastAsia="仿宋_GB2312" w:hAnsi="Times New Roman" w:cs="Times New Roman"/>
                <w:sz w:val="24"/>
                <w:szCs w:val="24"/>
              </w:rPr>
            </w:pPr>
          </w:p>
        </w:tc>
        <w:tc>
          <w:tcPr>
            <w:tcW w:w="1392" w:type="dxa"/>
          </w:tcPr>
          <w:p w:rsidR="00665A97" w:rsidRDefault="00665A97" w:rsidP="00486878">
            <w:pPr>
              <w:rPr>
                <w:rFonts w:ascii="Times New Roman" w:eastAsia="仿宋_GB2312" w:hAnsi="Times New Roman" w:cs="Times New Roman"/>
                <w:sz w:val="24"/>
                <w:szCs w:val="24"/>
              </w:rPr>
            </w:pPr>
          </w:p>
        </w:tc>
        <w:tc>
          <w:tcPr>
            <w:tcW w:w="1393" w:type="dxa"/>
          </w:tcPr>
          <w:p w:rsidR="00665A97" w:rsidRDefault="00665A97" w:rsidP="00486878">
            <w:pPr>
              <w:rPr>
                <w:rFonts w:ascii="Times New Roman" w:eastAsia="仿宋_GB2312" w:hAnsi="Times New Roman" w:cs="Times New Roman"/>
                <w:sz w:val="24"/>
                <w:szCs w:val="24"/>
              </w:rPr>
            </w:pPr>
          </w:p>
        </w:tc>
        <w:tc>
          <w:tcPr>
            <w:tcW w:w="1393" w:type="dxa"/>
          </w:tcPr>
          <w:p w:rsidR="00665A97" w:rsidRDefault="00665A97" w:rsidP="00486878">
            <w:pPr>
              <w:rPr>
                <w:rFonts w:ascii="Times New Roman" w:eastAsia="仿宋_GB2312" w:hAnsi="Times New Roman" w:cs="Times New Roman"/>
                <w:sz w:val="24"/>
                <w:szCs w:val="24"/>
              </w:rPr>
            </w:pPr>
          </w:p>
        </w:tc>
      </w:tr>
      <w:tr w:rsidR="00665A97" w:rsidTr="00486878">
        <w:tc>
          <w:tcPr>
            <w:tcW w:w="1391" w:type="dxa"/>
            <w:vMerge/>
            <w:vAlign w:val="center"/>
          </w:tcPr>
          <w:p w:rsidR="00665A97" w:rsidRDefault="00665A97" w:rsidP="00486878">
            <w:pPr>
              <w:jc w:val="center"/>
              <w:rPr>
                <w:rFonts w:ascii="Times New Roman" w:eastAsia="仿宋_GB2312" w:hAnsi="Times New Roman" w:cs="Times New Roman"/>
                <w:sz w:val="24"/>
                <w:szCs w:val="24"/>
              </w:rPr>
            </w:pPr>
          </w:p>
        </w:tc>
        <w:tc>
          <w:tcPr>
            <w:tcW w:w="1552"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业务联系人</w:t>
            </w:r>
          </w:p>
        </w:tc>
        <w:tc>
          <w:tcPr>
            <w:tcW w:w="1231" w:type="dxa"/>
          </w:tcPr>
          <w:p w:rsidR="00665A97" w:rsidRDefault="00665A97" w:rsidP="00486878">
            <w:pPr>
              <w:rPr>
                <w:rFonts w:ascii="Times New Roman" w:eastAsia="仿宋_GB2312" w:hAnsi="Times New Roman" w:cs="Times New Roman"/>
                <w:sz w:val="24"/>
                <w:szCs w:val="24"/>
              </w:rPr>
            </w:pPr>
          </w:p>
        </w:tc>
        <w:tc>
          <w:tcPr>
            <w:tcW w:w="1392" w:type="dxa"/>
          </w:tcPr>
          <w:p w:rsidR="00665A97" w:rsidRDefault="00665A97" w:rsidP="00486878">
            <w:pPr>
              <w:rPr>
                <w:rFonts w:ascii="Times New Roman" w:eastAsia="仿宋_GB2312" w:hAnsi="Times New Roman" w:cs="Times New Roman"/>
                <w:sz w:val="24"/>
                <w:szCs w:val="24"/>
              </w:rPr>
            </w:pPr>
          </w:p>
        </w:tc>
        <w:tc>
          <w:tcPr>
            <w:tcW w:w="1393" w:type="dxa"/>
          </w:tcPr>
          <w:p w:rsidR="00665A97" w:rsidRDefault="00665A97" w:rsidP="00486878">
            <w:pPr>
              <w:rPr>
                <w:rFonts w:ascii="Times New Roman" w:eastAsia="仿宋_GB2312" w:hAnsi="Times New Roman" w:cs="Times New Roman"/>
                <w:sz w:val="24"/>
                <w:szCs w:val="24"/>
              </w:rPr>
            </w:pPr>
          </w:p>
        </w:tc>
        <w:tc>
          <w:tcPr>
            <w:tcW w:w="1393" w:type="dxa"/>
          </w:tcPr>
          <w:p w:rsidR="00665A97" w:rsidRDefault="00665A97" w:rsidP="00486878">
            <w:pPr>
              <w:rPr>
                <w:rFonts w:ascii="Times New Roman" w:eastAsia="仿宋_GB2312" w:hAnsi="Times New Roman" w:cs="Times New Roman"/>
                <w:sz w:val="24"/>
                <w:szCs w:val="24"/>
              </w:rPr>
            </w:pPr>
          </w:p>
        </w:tc>
      </w:tr>
      <w:tr w:rsidR="00665A97" w:rsidTr="00486878">
        <w:trPr>
          <w:trHeight w:val="1724"/>
        </w:trPr>
        <w:tc>
          <w:tcPr>
            <w:tcW w:w="8352" w:type="dxa"/>
            <w:gridSpan w:val="6"/>
          </w:tcPr>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665A97" w:rsidRDefault="00665A97" w:rsidP="00486878">
            <w:pPr>
              <w:ind w:firstLine="465"/>
              <w:rPr>
                <w:rFonts w:ascii="Times New Roman" w:eastAsia="仿宋_GB2312" w:hAnsi="Times New Roman" w:cs="Times New Roman"/>
                <w:sz w:val="24"/>
                <w:szCs w:val="24"/>
              </w:rPr>
            </w:pPr>
          </w:p>
          <w:p w:rsidR="00665A97" w:rsidRDefault="00665A97" w:rsidP="00486878">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665A97" w:rsidRDefault="00665A97" w:rsidP="00486878">
            <w:pPr>
              <w:ind w:firstLine="465"/>
              <w:rPr>
                <w:rFonts w:ascii="Times New Roman" w:eastAsia="仿宋_GB2312" w:hAnsi="Times New Roman" w:cs="Times New Roman"/>
                <w:sz w:val="24"/>
                <w:szCs w:val="24"/>
              </w:rPr>
            </w:pPr>
          </w:p>
          <w:p w:rsidR="00665A97" w:rsidRDefault="00665A97" w:rsidP="00486878">
            <w:pPr>
              <w:ind w:firstLine="465"/>
              <w:rPr>
                <w:rFonts w:ascii="Times New Roman" w:eastAsia="仿宋_GB2312" w:hAnsi="Times New Roman" w:cs="Times New Roman"/>
                <w:sz w:val="24"/>
                <w:szCs w:val="24"/>
              </w:rPr>
            </w:pPr>
          </w:p>
          <w:p w:rsidR="00665A97" w:rsidRDefault="00665A97" w:rsidP="00486878">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p>
          <w:p w:rsidR="00665A97" w:rsidRDefault="00665A97" w:rsidP="00486878">
            <w:pPr>
              <w:ind w:firstLine="465"/>
              <w:jc w:val="right"/>
              <w:rPr>
                <w:rFonts w:ascii="Times New Roman" w:eastAsia="仿宋_GB2312" w:hAnsi="Times New Roman" w:cs="Times New Roman"/>
                <w:sz w:val="24"/>
                <w:szCs w:val="24"/>
              </w:rPr>
            </w:pPr>
          </w:p>
          <w:p w:rsidR="00665A97" w:rsidRDefault="00665A97" w:rsidP="00486878">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p>
        </w:tc>
      </w:tr>
      <w:tr w:rsidR="00665A97" w:rsidTr="00486878">
        <w:tc>
          <w:tcPr>
            <w:tcW w:w="8352" w:type="dxa"/>
            <w:gridSpan w:val="6"/>
            <w:tcBorders>
              <w:bottom w:val="single" w:sz="4" w:space="0" w:color="000000"/>
            </w:tcBorders>
            <w:vAlign w:val="center"/>
          </w:tcPr>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备案意见：</w:t>
            </w:r>
          </w:p>
          <w:p w:rsidR="00665A97" w:rsidRDefault="00665A97" w:rsidP="00486878">
            <w:pPr>
              <w:rPr>
                <w:rFonts w:ascii="Times New Roman" w:eastAsia="仿宋_GB2312" w:hAnsi="Times New Roman" w:cs="Times New Roman"/>
                <w:sz w:val="24"/>
                <w:szCs w:val="24"/>
              </w:rPr>
            </w:pPr>
          </w:p>
          <w:p w:rsidR="00665A97" w:rsidRDefault="00665A97" w:rsidP="00486878">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予以备案。自备案之日起</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个工作日后你行可办理调运外币现钞进出境业务。</w:t>
            </w:r>
          </w:p>
          <w:p w:rsidR="00665A97" w:rsidRDefault="00665A97" w:rsidP="00486878">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你行办理调运外币现钞进出境业务，应遵照《调运外币现钞进出境管理规定》（汇发〔</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w:t>
            </w:r>
            <w:r>
              <w:rPr>
                <w:rFonts w:ascii="Times New Roman" w:eastAsia="仿宋_GB2312" w:hAnsi="Times New Roman" w:cs="Times New Roman"/>
                <w:sz w:val="24"/>
                <w:szCs w:val="24"/>
              </w:rPr>
              <w:t>16</w:t>
            </w:r>
            <w:r>
              <w:rPr>
                <w:rFonts w:ascii="Times New Roman" w:eastAsia="仿宋_GB2312" w:hAnsi="Times New Roman" w:cs="Times New Roman"/>
                <w:sz w:val="24"/>
                <w:szCs w:val="24"/>
              </w:rPr>
              <w:t>号）等有关规定执行。</w:t>
            </w:r>
          </w:p>
          <w:p w:rsidR="00665A97" w:rsidRDefault="00665A97" w:rsidP="00486878">
            <w:pPr>
              <w:rPr>
                <w:rFonts w:ascii="Times New Roman" w:eastAsia="仿宋_GB2312" w:hAnsi="Times New Roman" w:cs="Times New Roman"/>
                <w:sz w:val="24"/>
                <w:szCs w:val="24"/>
              </w:rPr>
            </w:pPr>
          </w:p>
          <w:p w:rsidR="00665A97" w:rsidRDefault="00665A97" w:rsidP="00486878">
            <w:pPr>
              <w:rPr>
                <w:rFonts w:ascii="Times New Roman" w:eastAsia="仿宋_GB2312" w:hAnsi="Times New Roman" w:cs="Times New Roman"/>
                <w:sz w:val="24"/>
                <w:szCs w:val="24"/>
              </w:rPr>
            </w:pPr>
          </w:p>
          <w:p w:rsidR="00665A97" w:rsidRDefault="00665A97" w:rsidP="00486878">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国家外汇管理局</w:t>
            </w:r>
          </w:p>
          <w:p w:rsidR="00665A97" w:rsidRDefault="00665A97" w:rsidP="00486878">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分局（外汇管理部）签章</w:t>
            </w:r>
          </w:p>
          <w:p w:rsidR="00665A97" w:rsidRDefault="00665A97" w:rsidP="00486878">
            <w:pPr>
              <w:ind w:right="480"/>
              <w:rPr>
                <w:rFonts w:ascii="Times New Roman" w:eastAsia="仿宋_GB2312" w:hAnsi="Times New Roman" w:cs="Times New Roman"/>
                <w:sz w:val="24"/>
                <w:szCs w:val="24"/>
              </w:rPr>
            </w:pPr>
          </w:p>
          <w:p w:rsidR="00665A97" w:rsidRDefault="00665A97" w:rsidP="00486878">
            <w:pPr>
              <w:wordWrap w:val="0"/>
              <w:ind w:firstLineChars="200" w:firstLine="48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sz w:val="24"/>
                <w:szCs w:val="24"/>
              </w:rPr>
              <w:t>日</w:t>
            </w:r>
          </w:p>
        </w:tc>
      </w:tr>
      <w:tr w:rsidR="00665A97" w:rsidTr="00486878">
        <w:tc>
          <w:tcPr>
            <w:tcW w:w="8352" w:type="dxa"/>
            <w:gridSpan w:val="6"/>
            <w:tcBorders>
              <w:left w:val="nil"/>
              <w:bottom w:val="nil"/>
              <w:right w:val="nil"/>
            </w:tcBorders>
            <w:vAlign w:val="center"/>
          </w:tcPr>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本表一式两份，分别由备案银行及其所在地外汇分局留存。</w:t>
            </w:r>
          </w:p>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备案银行名称及社会统一信用代码应与工商营业执照信息一致。</w:t>
            </w:r>
          </w:p>
        </w:tc>
      </w:tr>
    </w:tbl>
    <w:p w:rsidR="00665A97" w:rsidRDefault="00665A97" w:rsidP="00665A97">
      <w:pPr>
        <w:rPr>
          <w:rFonts w:ascii="Times New Roman" w:hAnsi="Times New Roman" w:cs="Times New Roman"/>
        </w:rPr>
      </w:pPr>
    </w:p>
    <w:p w:rsidR="00665A97" w:rsidRDefault="00665A97" w:rsidP="00665A97">
      <w:pPr>
        <w:rPr>
          <w:rFonts w:ascii="Times New Roman" w:hAnsi="Times New Roman" w:cs="Times New Roman"/>
        </w:rPr>
      </w:pPr>
    </w:p>
    <w:p w:rsidR="00665A97" w:rsidRDefault="00665A97" w:rsidP="00665A97">
      <w:pPr>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2</w:t>
      </w:r>
    </w:p>
    <w:p w:rsidR="00665A97" w:rsidRDefault="00665A97" w:rsidP="00665A97">
      <w:pPr>
        <w:spacing w:line="360" w:lineRule="auto"/>
        <w:rPr>
          <w:rFonts w:ascii="Times New Roman" w:eastAsia="仿宋_GB2312" w:hAnsi="Times New Roman" w:cs="Times New Roman"/>
          <w:sz w:val="34"/>
          <w:szCs w:val="34"/>
        </w:rPr>
      </w:pPr>
    </w:p>
    <w:p w:rsidR="00665A97" w:rsidRDefault="00665A97" w:rsidP="00665A97">
      <w:pPr>
        <w:spacing w:afterLines="100"/>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银行停办调运外币现钞进出境业务备案表（示范文本）</w:t>
      </w:r>
    </w:p>
    <w:tbl>
      <w:tblPr>
        <w:tblStyle w:val="a6"/>
        <w:tblW w:w="8522" w:type="dxa"/>
        <w:tblLayout w:type="fixed"/>
        <w:tblLook w:val="04A0"/>
      </w:tblPr>
      <w:tblGrid>
        <w:gridCol w:w="1420"/>
        <w:gridCol w:w="7102"/>
      </w:tblGrid>
      <w:tr w:rsidR="00665A97" w:rsidTr="00486878">
        <w:trPr>
          <w:trHeight w:val="631"/>
        </w:trPr>
        <w:tc>
          <w:tcPr>
            <w:tcW w:w="1420" w:type="dxa"/>
            <w:vAlign w:val="center"/>
          </w:tcPr>
          <w:p w:rsidR="00665A97" w:rsidRDefault="00665A97" w:rsidP="0048687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7102" w:type="dxa"/>
          </w:tcPr>
          <w:p w:rsidR="00665A97" w:rsidRDefault="00665A97" w:rsidP="00486878">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665A97" w:rsidTr="00486878">
        <w:trPr>
          <w:trHeight w:val="710"/>
        </w:trPr>
        <w:tc>
          <w:tcPr>
            <w:tcW w:w="1420"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7102" w:type="dxa"/>
          </w:tcPr>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XXXXXXXXXXXX</w:t>
            </w:r>
          </w:p>
        </w:tc>
      </w:tr>
      <w:tr w:rsidR="00665A97" w:rsidTr="00486878">
        <w:trPr>
          <w:trHeight w:val="564"/>
        </w:trPr>
        <w:tc>
          <w:tcPr>
            <w:tcW w:w="1420"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停办时间</w:t>
            </w:r>
          </w:p>
        </w:tc>
        <w:tc>
          <w:tcPr>
            <w:tcW w:w="7102" w:type="dxa"/>
          </w:tcPr>
          <w:p w:rsidR="00665A97" w:rsidRDefault="00665A97" w:rsidP="00486878">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p>
        </w:tc>
      </w:tr>
      <w:tr w:rsidR="00665A97" w:rsidTr="00486878">
        <w:trPr>
          <w:trHeight w:val="4371"/>
        </w:trPr>
        <w:tc>
          <w:tcPr>
            <w:tcW w:w="1420" w:type="dxa"/>
            <w:vAlign w:val="center"/>
          </w:tcPr>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停办原因</w:t>
            </w:r>
          </w:p>
          <w:p w:rsidR="00665A97" w:rsidRDefault="00665A97" w:rsidP="0048687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说明</w:t>
            </w:r>
          </w:p>
        </w:tc>
        <w:tc>
          <w:tcPr>
            <w:tcW w:w="7102" w:type="dxa"/>
            <w:vAlign w:val="center"/>
          </w:tcPr>
          <w:p w:rsidR="00665A97" w:rsidRDefault="00665A97" w:rsidP="00486878">
            <w:pPr>
              <w:rPr>
                <w:rFonts w:ascii="Times New Roman" w:eastAsia="仿宋_GB2312" w:hAnsi="Times New Roman" w:cs="Times New Roman"/>
                <w:sz w:val="24"/>
                <w:szCs w:val="24"/>
              </w:rPr>
            </w:pPr>
          </w:p>
        </w:tc>
      </w:tr>
      <w:tr w:rsidR="00665A97" w:rsidTr="00486878">
        <w:trPr>
          <w:trHeight w:val="3244"/>
        </w:trPr>
        <w:tc>
          <w:tcPr>
            <w:tcW w:w="8522" w:type="dxa"/>
            <w:gridSpan w:val="2"/>
          </w:tcPr>
          <w:p w:rsidR="00665A97" w:rsidRDefault="00665A97" w:rsidP="00486878">
            <w:pPr>
              <w:rPr>
                <w:rFonts w:ascii="Times New Roman" w:eastAsia="仿宋_GB2312" w:hAnsi="Times New Roman" w:cs="Times New Roman"/>
                <w:sz w:val="24"/>
                <w:szCs w:val="24"/>
              </w:rPr>
            </w:pPr>
          </w:p>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665A97" w:rsidRDefault="00665A97" w:rsidP="00486878">
            <w:pPr>
              <w:rPr>
                <w:rFonts w:ascii="Times New Roman" w:eastAsia="仿宋_GB2312" w:hAnsi="Times New Roman" w:cs="Times New Roman"/>
                <w:sz w:val="24"/>
                <w:szCs w:val="24"/>
              </w:rPr>
            </w:pPr>
          </w:p>
          <w:p w:rsidR="00665A97" w:rsidRDefault="00665A97" w:rsidP="00486878">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665A97" w:rsidRDefault="00665A97" w:rsidP="00486878">
            <w:pPr>
              <w:ind w:firstLine="465"/>
              <w:rPr>
                <w:rFonts w:ascii="Times New Roman" w:eastAsia="仿宋_GB2312" w:hAnsi="Times New Roman" w:cs="Times New Roman"/>
                <w:sz w:val="24"/>
                <w:szCs w:val="24"/>
              </w:rPr>
            </w:pPr>
          </w:p>
          <w:p w:rsidR="00665A97" w:rsidRDefault="00665A97" w:rsidP="00486878">
            <w:pPr>
              <w:ind w:firstLine="465"/>
              <w:rPr>
                <w:rFonts w:ascii="Times New Roman" w:eastAsia="仿宋_GB2312" w:hAnsi="Times New Roman" w:cs="Times New Roman"/>
                <w:sz w:val="24"/>
                <w:szCs w:val="24"/>
              </w:rPr>
            </w:pPr>
          </w:p>
          <w:p w:rsidR="00665A97" w:rsidRDefault="00665A97" w:rsidP="00486878">
            <w:pPr>
              <w:ind w:firstLine="465"/>
              <w:rPr>
                <w:rFonts w:ascii="Times New Roman" w:eastAsia="仿宋_GB2312" w:hAnsi="Times New Roman" w:cs="Times New Roman"/>
                <w:sz w:val="24"/>
                <w:szCs w:val="24"/>
              </w:rPr>
            </w:pPr>
          </w:p>
          <w:p w:rsidR="00665A97" w:rsidRDefault="00665A97" w:rsidP="00486878">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p>
          <w:p w:rsidR="00665A97" w:rsidRDefault="00665A97" w:rsidP="00486878">
            <w:pPr>
              <w:ind w:firstLine="465"/>
              <w:jc w:val="right"/>
              <w:rPr>
                <w:rFonts w:ascii="Times New Roman" w:eastAsia="仿宋_GB2312" w:hAnsi="Times New Roman" w:cs="Times New Roman"/>
                <w:sz w:val="24"/>
                <w:szCs w:val="24"/>
              </w:rPr>
            </w:pPr>
          </w:p>
          <w:p w:rsidR="00665A97" w:rsidRDefault="00665A97" w:rsidP="00486878">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20xx</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xx</w:t>
            </w:r>
            <w:r>
              <w:rPr>
                <w:rFonts w:ascii="Times New Roman" w:eastAsia="仿宋_GB2312" w:hAnsi="Times New Roman" w:cs="Times New Roman"/>
                <w:sz w:val="24"/>
                <w:szCs w:val="24"/>
              </w:rPr>
              <w:t>日</w:t>
            </w:r>
          </w:p>
        </w:tc>
      </w:tr>
      <w:tr w:rsidR="00665A97" w:rsidTr="00486878">
        <w:tc>
          <w:tcPr>
            <w:tcW w:w="8522" w:type="dxa"/>
            <w:gridSpan w:val="2"/>
            <w:tcBorders>
              <w:left w:val="nil"/>
              <w:bottom w:val="nil"/>
              <w:right w:val="nil"/>
            </w:tcBorders>
            <w:vAlign w:val="center"/>
          </w:tcPr>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665A97" w:rsidRDefault="00665A97" w:rsidP="00486878">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备案银行名称及社会统一信用代码应与工商营业执照信息一致。</w:t>
            </w:r>
          </w:p>
        </w:tc>
      </w:tr>
    </w:tbl>
    <w:p w:rsidR="00665A97" w:rsidRDefault="00665A97" w:rsidP="00665A97">
      <w:pPr>
        <w:rPr>
          <w:rFonts w:ascii="Times New Roman" w:hAnsi="Times New Roman" w:cs="Times New Roman"/>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停办时间</w:t>
      </w:r>
      <w:r>
        <w:rPr>
          <w:rFonts w:ascii="Times New Roman" w:eastAsia="仿宋_GB2312" w:hAnsi="Times New Roman" w:cs="Times New Roman"/>
          <w:sz w:val="24"/>
          <w:szCs w:val="24"/>
        </w:rPr>
        <w:t>”</w:t>
      </w:r>
      <w:r>
        <w:rPr>
          <w:rFonts w:ascii="Times New Roman" w:eastAsia="仿宋_GB2312" w:hAnsi="Times New Roman" w:cs="Times New Roman"/>
          <w:sz w:val="24"/>
          <w:szCs w:val="24"/>
        </w:rPr>
        <w:t>是指正式停止办理调运外币现钞进出境业务的日期。</w:t>
      </w:r>
    </w:p>
    <w:p w:rsidR="00665A97" w:rsidRDefault="00665A97" w:rsidP="00665A97">
      <w:pPr>
        <w:ind w:right="300"/>
        <w:rPr>
          <w:rFonts w:ascii="Times New Roman" w:hAnsi="Times New Roman" w:cs="Times New Roman"/>
        </w:rPr>
      </w:pPr>
    </w:p>
    <w:p w:rsidR="00665A97" w:rsidRPr="005C2AB1" w:rsidRDefault="00665A97" w:rsidP="00665A97">
      <w:pPr>
        <w:ind w:right="300"/>
        <w:rPr>
          <w:rFonts w:ascii="Times New Roman" w:hAnsi="Times New Roman" w:cs="Times New Roman"/>
        </w:rPr>
      </w:pPr>
    </w:p>
    <w:p w:rsidR="00665A97" w:rsidRPr="00665A97" w:rsidRDefault="00665A97" w:rsidP="00665A97"/>
    <w:sectPr w:rsidR="00665A97" w:rsidRPr="00665A97" w:rsidSect="00D567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61" w:rsidRDefault="00EA309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11" w:rsidRDefault="00EA3090">
    <w:pPr>
      <w:pStyle w:val="a3"/>
      <w:jc w:val="center"/>
    </w:pPr>
    <w:r w:rsidRPr="00147E0B">
      <w:fldChar w:fldCharType="begin"/>
    </w:r>
    <w:r>
      <w:instrText xml:space="preserve"> PAGE   \* MERGEFORMAT </w:instrText>
    </w:r>
    <w:r w:rsidRPr="00147E0B">
      <w:fldChar w:fldCharType="separate"/>
    </w:r>
    <w:r>
      <w:rPr>
        <w:lang w:val="zh-CN"/>
      </w:rPr>
      <w:t>1</w:t>
    </w:r>
    <w:r>
      <w:rPr>
        <w:lang w:val="zh-CN"/>
      </w:rPr>
      <w:fldChar w:fldCharType="end"/>
    </w:r>
  </w:p>
  <w:p w:rsidR="00643911" w:rsidRDefault="00EA309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61" w:rsidRDefault="00EA3090">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11" w:rsidRDefault="00EA3090">
    <w:pPr>
      <w:pStyle w:val="a3"/>
      <w:jc w:val="center"/>
    </w:pPr>
    <w:r w:rsidRPr="00147E0B">
      <w:fldChar w:fldCharType="begin"/>
    </w:r>
    <w:r>
      <w:instrText xml:space="preserve"> PAGE   \* MERGEFORMAT </w:instrText>
    </w:r>
    <w:r w:rsidRPr="00147E0B">
      <w:fldChar w:fldCharType="separate"/>
    </w:r>
    <w:r w:rsidR="00665A97" w:rsidRPr="00665A97">
      <w:rPr>
        <w:noProof/>
        <w:lang w:val="zh-CN"/>
      </w:rPr>
      <w:t>2</w:t>
    </w:r>
    <w:r>
      <w:rPr>
        <w:lang w:val="zh-CN"/>
      </w:rPr>
      <w:fldChar w:fldCharType="end"/>
    </w:r>
  </w:p>
  <w:p w:rsidR="00643911" w:rsidRDefault="00EA3090">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97" w:rsidRDefault="00665A97">
    <w:pPr>
      <w:pStyle w:val="a3"/>
      <w:jc w:val="center"/>
    </w:pPr>
    <w:r w:rsidRPr="004E6277">
      <w:fldChar w:fldCharType="begin"/>
    </w:r>
    <w:r>
      <w:instrText xml:space="preserve"> PAGE   \* MERGEFORMAT </w:instrText>
    </w:r>
    <w:r w:rsidRPr="004E6277">
      <w:fldChar w:fldCharType="separate"/>
    </w:r>
    <w:r w:rsidR="0036640A" w:rsidRPr="0036640A">
      <w:rPr>
        <w:noProof/>
        <w:lang w:val="zh-CN"/>
      </w:rPr>
      <w:t>5</w:t>
    </w:r>
    <w:r>
      <w:rPr>
        <w:lang w:val="zh-CN"/>
      </w:rPr>
      <w:fldChar w:fldCharType="end"/>
    </w:r>
  </w:p>
  <w:p w:rsidR="00665A97" w:rsidRDefault="00665A97">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61" w:rsidRDefault="00EA30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61" w:rsidRDefault="00EA309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61" w:rsidRDefault="00EA30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08F5"/>
    <w:rsid w:val="0036640A"/>
    <w:rsid w:val="005608F5"/>
    <w:rsid w:val="00665A97"/>
    <w:rsid w:val="00B26B0C"/>
    <w:rsid w:val="00D5670A"/>
    <w:rsid w:val="00EA30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接箭头连接符 15"/>
        <o:r id="V:Rule2" type="connector" idref="#Straight Connector 86"/>
        <o:r id="V:Rule3" type="connector" idref="#直接箭头连接符 16"/>
        <o:r id="V:Rule4" type="connector" idref="#直接箭头连接符 3"/>
        <o:r id="V:Rule5" type="connector" idref="#直接箭头连接符 2"/>
        <o:r id="V:Rule6" type="connector" idref="#直接箭头连接符 19"/>
        <o:r id="V:Rule7" type="connector" idref="#直接箭头连接符 13"/>
        <o:r id="V:Rule8" type="connector" idref="#直接箭头连接符 7"/>
        <o:r id="V:Rule9" type="connector" idref="#直接箭头连接符 11"/>
        <o:r id="V:Rule10" type="connector" idref="#直接箭头连接符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9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5A97"/>
    <w:pPr>
      <w:tabs>
        <w:tab w:val="center" w:pos="4153"/>
        <w:tab w:val="right" w:pos="8306"/>
      </w:tabs>
      <w:snapToGrid w:val="0"/>
      <w:jc w:val="left"/>
    </w:pPr>
    <w:rPr>
      <w:sz w:val="18"/>
      <w:szCs w:val="18"/>
    </w:rPr>
  </w:style>
  <w:style w:type="character" w:customStyle="1" w:styleId="Char">
    <w:name w:val="页脚 Char"/>
    <w:basedOn w:val="a0"/>
    <w:link w:val="a3"/>
    <w:uiPriority w:val="99"/>
    <w:rsid w:val="00665A97"/>
    <w:rPr>
      <w:rFonts w:ascii="Calibri" w:eastAsia="宋体" w:hAnsi="Calibri" w:cs="黑体"/>
      <w:sz w:val="18"/>
      <w:szCs w:val="18"/>
    </w:rPr>
  </w:style>
  <w:style w:type="paragraph" w:styleId="a4">
    <w:name w:val="header"/>
    <w:basedOn w:val="a"/>
    <w:link w:val="Char0"/>
    <w:uiPriority w:val="99"/>
    <w:unhideWhenUsed/>
    <w:rsid w:val="00665A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5A97"/>
    <w:rPr>
      <w:rFonts w:ascii="Calibri" w:eastAsia="宋体" w:hAnsi="Calibri" w:cs="黑体"/>
      <w:sz w:val="18"/>
      <w:szCs w:val="18"/>
    </w:rPr>
  </w:style>
  <w:style w:type="paragraph" w:styleId="a5">
    <w:name w:val="Balloon Text"/>
    <w:basedOn w:val="a"/>
    <w:link w:val="Char1"/>
    <w:uiPriority w:val="99"/>
    <w:semiHidden/>
    <w:unhideWhenUsed/>
    <w:rsid w:val="00665A97"/>
    <w:rPr>
      <w:sz w:val="18"/>
      <w:szCs w:val="18"/>
    </w:rPr>
  </w:style>
  <w:style w:type="character" w:customStyle="1" w:styleId="Char1">
    <w:name w:val="批注框文本 Char"/>
    <w:basedOn w:val="a0"/>
    <w:link w:val="a5"/>
    <w:uiPriority w:val="99"/>
    <w:semiHidden/>
    <w:rsid w:val="00665A97"/>
    <w:rPr>
      <w:rFonts w:ascii="Calibri" w:eastAsia="宋体" w:hAnsi="Calibri" w:cs="黑体"/>
      <w:sz w:val="18"/>
      <w:szCs w:val="18"/>
    </w:rPr>
  </w:style>
  <w:style w:type="table" w:styleId="a6">
    <w:name w:val="Table Grid"/>
    <w:basedOn w:val="a1"/>
    <w:uiPriority w:val="59"/>
    <w:rsid w:val="00665A97"/>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afe.gov.cn"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safe.gov.c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434</Words>
  <Characters>2480</Characters>
  <Application>Microsoft Office Word</Application>
  <DocSecurity>0</DocSecurity>
  <Lines>20</Lines>
  <Paragraphs>5</Paragraphs>
  <ScaleCrop>false</ScaleCrop>
  <Company>Microsoft</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范玥</dc:creator>
  <cp:lastModifiedBy>范玥</cp:lastModifiedBy>
  <cp:revision>4</cp:revision>
  <dcterms:created xsi:type="dcterms:W3CDTF">2021-08-26T06:51:00Z</dcterms:created>
  <dcterms:modified xsi:type="dcterms:W3CDTF">2021-08-26T06:56:00Z</dcterms:modified>
</cp:coreProperties>
</file>