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A" w:rsidRPr="00CD70F0" w:rsidRDefault="00D97B5A" w:rsidP="00D97B5A">
      <w:pPr>
        <w:ind w:right="300"/>
        <w:rPr>
          <w:rFonts w:ascii="黑体" w:eastAsia="黑体"/>
          <w:sz w:val="48"/>
          <w:szCs w:val="48"/>
        </w:rPr>
      </w:pPr>
      <w:r w:rsidRPr="00CD70F0">
        <w:rPr>
          <w:rFonts w:ascii="黑体" w:eastAsia="黑体" w:hint="eastAsia"/>
          <w:sz w:val="48"/>
          <w:szCs w:val="48"/>
        </w:rPr>
        <w:t>编号：</w:t>
      </w:r>
      <w:r w:rsidRPr="00CD70F0">
        <w:rPr>
          <w:rFonts w:ascii="黑体" w:eastAsia="黑体"/>
          <w:sz w:val="48"/>
          <w:szCs w:val="48"/>
        </w:rPr>
        <w:t>57012</w:t>
      </w:r>
      <w:r w:rsidRPr="00BB5E37">
        <w:rPr>
          <w:rFonts w:ascii="黑体" w:eastAsia="黑体"/>
          <w:noProof/>
          <w:sz w:val="48"/>
          <w:szCs w:val="48"/>
        </w:rPr>
        <w:drawing>
          <wp:inline distT="0" distB="0" distL="0" distR="0">
            <wp:extent cx="1105665" cy="8858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5A" w:rsidRPr="00CD70F0" w:rsidRDefault="00D97B5A" w:rsidP="00D97B5A">
      <w:pPr>
        <w:ind w:right="300"/>
        <w:jc w:val="center"/>
        <w:rPr>
          <w:rFonts w:ascii="黑体" w:eastAsia="黑体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黑体" w:eastAsia="黑体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黑体" w:eastAsia="黑体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黑体" w:eastAsia="黑体"/>
          <w:sz w:val="52"/>
          <w:szCs w:val="52"/>
        </w:rPr>
      </w:pPr>
    </w:p>
    <w:p w:rsidR="00D97B5A" w:rsidRPr="00CD70F0" w:rsidRDefault="00D97B5A" w:rsidP="00D97B5A">
      <w:pPr>
        <w:ind w:right="300"/>
        <w:jc w:val="center"/>
        <w:rPr>
          <w:rFonts w:ascii="黑体" w:eastAsia="黑体"/>
          <w:sz w:val="52"/>
          <w:szCs w:val="52"/>
        </w:rPr>
      </w:pPr>
      <w:r w:rsidRPr="00CD70F0">
        <w:rPr>
          <w:rFonts w:ascii="黑体" w:eastAsia="黑体" w:hint="eastAsia"/>
          <w:sz w:val="52"/>
          <w:szCs w:val="52"/>
        </w:rPr>
        <w:t xml:space="preserve">“资本项目外汇资金结汇核准” </w:t>
      </w:r>
    </w:p>
    <w:p w:rsidR="00D97B5A" w:rsidRPr="00CD70F0" w:rsidRDefault="00D97B5A" w:rsidP="00D97B5A">
      <w:pPr>
        <w:ind w:right="300"/>
        <w:jc w:val="center"/>
        <w:rPr>
          <w:rFonts w:ascii="黑体" w:eastAsia="黑体"/>
          <w:sz w:val="52"/>
          <w:szCs w:val="52"/>
        </w:rPr>
      </w:pPr>
      <w:r w:rsidRPr="00CD70F0">
        <w:rPr>
          <w:rFonts w:ascii="黑体" w:eastAsia="黑体" w:hint="eastAsia"/>
          <w:sz w:val="52"/>
          <w:szCs w:val="52"/>
        </w:rPr>
        <w:t>行政审批服务指南</w:t>
      </w: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Default="00D97B5A" w:rsidP="00D97B5A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发布日期：</w:t>
      </w:r>
      <w:r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p w:rsidR="00D97B5A" w:rsidRDefault="00D97B5A" w:rsidP="00D97B5A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实施日期：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11</w:t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20</w:t>
      </w:r>
      <w:r>
        <w:rPr>
          <w:rFonts w:ascii="Times New Roman" w:eastAsia="仿宋_GB2312" w:hAnsi="Times New Roman"/>
          <w:sz w:val="30"/>
          <w:szCs w:val="30"/>
        </w:rPr>
        <w:t>日</w:t>
      </w:r>
    </w:p>
    <w:p w:rsidR="00D97B5A" w:rsidRDefault="00D97B5A" w:rsidP="00D97B5A">
      <w:pPr>
        <w:ind w:right="300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发布机构：国家外汇管理局</w:t>
      </w:r>
      <w:r>
        <w:rPr>
          <w:rFonts w:ascii="Times New Roman" w:eastAsia="仿宋_GB2312" w:hAnsi="Times New Roman" w:hint="eastAsia"/>
          <w:sz w:val="30"/>
          <w:szCs w:val="30"/>
        </w:rPr>
        <w:t>天津市分局</w:t>
      </w: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rPr>
          <w:rFonts w:ascii="仿宋_GB2312" w:eastAsia="仿宋_GB2312"/>
          <w:sz w:val="30"/>
          <w:szCs w:val="30"/>
        </w:rPr>
        <w:sectPr w:rsidR="00D97B5A" w:rsidRPr="00CD70F0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97B5A" w:rsidRPr="00CD70F0" w:rsidRDefault="00D97B5A" w:rsidP="00D97B5A">
      <w:pPr>
        <w:ind w:right="-58" w:firstLineChars="200" w:firstLine="600"/>
        <w:jc w:val="left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lastRenderedPageBreak/>
        <w:t>一、项目信息</w:t>
      </w:r>
    </w:p>
    <w:p w:rsidR="00D97B5A" w:rsidRPr="00CD70F0" w:rsidRDefault="00D97B5A" w:rsidP="00D97B5A">
      <w:pPr>
        <w:ind w:right="-58" w:firstLineChars="200" w:firstLine="600"/>
        <w:jc w:val="left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项目名称：资本项目外汇资金结汇核准；</w:t>
      </w:r>
    </w:p>
    <w:p w:rsidR="00D97B5A" w:rsidRPr="00CD70F0" w:rsidRDefault="00D97B5A" w:rsidP="00D97B5A">
      <w:pPr>
        <w:ind w:right="-58" w:firstLineChars="200" w:firstLine="600"/>
        <w:jc w:val="left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项目编号：57012；</w:t>
      </w:r>
    </w:p>
    <w:p w:rsidR="00D97B5A" w:rsidRPr="00CD70F0" w:rsidRDefault="00D97B5A" w:rsidP="00D97B5A">
      <w:pPr>
        <w:ind w:right="-58"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审批类别：行政许可；</w:t>
      </w:r>
    </w:p>
    <w:p w:rsidR="00D97B5A" w:rsidRPr="00CD70F0" w:rsidRDefault="00D97B5A" w:rsidP="00D97B5A">
      <w:pPr>
        <w:ind w:right="-58"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审查类型：前审后批。</w:t>
      </w:r>
    </w:p>
    <w:p w:rsidR="00D97B5A" w:rsidRPr="00CD70F0" w:rsidRDefault="00D97B5A" w:rsidP="00D97B5A">
      <w:pPr>
        <w:ind w:right="-58" w:firstLineChars="200" w:firstLine="600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二、适用范围</w:t>
      </w:r>
    </w:p>
    <w:p w:rsidR="00D97B5A" w:rsidRPr="00CD70F0" w:rsidRDefault="00D97B5A" w:rsidP="00D97B5A">
      <w:pPr>
        <w:ind w:right="-58"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本指南适用于“资本项目外汇资金结汇核准”的申请和办理。</w:t>
      </w:r>
    </w:p>
    <w:p w:rsidR="00D97B5A" w:rsidRPr="00CD70F0" w:rsidRDefault="00D97B5A" w:rsidP="00D97B5A">
      <w:pPr>
        <w:ind w:right="-58" w:firstLineChars="200" w:firstLine="600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三、设定依据</w:t>
      </w:r>
    </w:p>
    <w:p w:rsidR="00D97B5A" w:rsidRPr="00CD70F0" w:rsidRDefault="00D97B5A" w:rsidP="00D97B5A">
      <w:pPr>
        <w:ind w:right="-58" w:firstLineChars="200" w:firstLine="600"/>
        <w:rPr>
          <w:rFonts w:ascii="仿宋_GB2312" w:eastAsia="仿宋_GB2312" w:hAnsi="Times New Roman"/>
          <w:sz w:val="30"/>
          <w:szCs w:val="30"/>
        </w:rPr>
      </w:pPr>
      <w:r w:rsidRPr="00CD70F0">
        <w:rPr>
          <w:rFonts w:ascii="仿宋_GB2312" w:eastAsia="仿宋_GB2312" w:hAnsi="Times New Roman" w:hint="eastAsia"/>
          <w:sz w:val="30"/>
          <w:szCs w:val="30"/>
        </w:rPr>
        <w:t>《中华人民共和国外汇管理条例》（国务院令第532号）第二十一条：“</w:t>
      </w:r>
      <w:r w:rsidRPr="00CD70F0">
        <w:rPr>
          <w:rFonts w:ascii="仿宋_GB2312" w:eastAsia="仿宋_GB2312" w:hAnsi="Times New Roman"/>
          <w:sz w:val="30"/>
          <w:szCs w:val="30"/>
        </w:rPr>
        <w:t>资本项目外汇收入保留或者卖给经营结汇、售汇业务的金融机构，应当经外汇管理机关批准，但国家规定无需批准的除外</w:t>
      </w:r>
      <w:r w:rsidRPr="00CD70F0">
        <w:rPr>
          <w:rFonts w:ascii="仿宋_GB2312" w:eastAsia="仿宋_GB2312" w:hAnsi="Times New Roman" w:hint="eastAsia"/>
          <w:sz w:val="30"/>
          <w:szCs w:val="30"/>
        </w:rPr>
        <w:t>”。</w:t>
      </w:r>
    </w:p>
    <w:p w:rsidR="00D97B5A" w:rsidRPr="00CD70F0" w:rsidRDefault="00D97B5A" w:rsidP="00D97B5A">
      <w:pPr>
        <w:ind w:right="-58" w:firstLineChars="200" w:firstLine="600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四、外保内贷境外担保履约款结汇核准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（一）办理依据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/>
          <w:sz w:val="30"/>
          <w:szCs w:val="30"/>
        </w:rPr>
        <w:t>号）；</w:t>
      </w:r>
    </w:p>
    <w:p w:rsidR="00D97B5A" w:rsidRDefault="00D97B5A" w:rsidP="00D97B5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《国家外汇管理局关于发布</w:t>
      </w:r>
      <w:r>
        <w:rPr>
          <w:rFonts w:ascii="Times New Roman" w:eastAsia="仿宋_GB2312" w:hAnsi="Times New Roman"/>
          <w:sz w:val="30"/>
          <w:szCs w:val="30"/>
        </w:rPr>
        <w:t>&lt;</w:t>
      </w:r>
      <w:r>
        <w:rPr>
          <w:rFonts w:ascii="Times New Roman" w:eastAsia="仿宋_GB2312" w:hAnsi="Times New Roman"/>
          <w:sz w:val="30"/>
          <w:szCs w:val="30"/>
        </w:rPr>
        <w:t>跨境担保外汇管理规定</w:t>
      </w:r>
      <w:r>
        <w:rPr>
          <w:rFonts w:ascii="Times New Roman" w:eastAsia="仿宋_GB2312" w:hAnsi="Times New Roman"/>
          <w:sz w:val="30"/>
          <w:szCs w:val="30"/>
        </w:rPr>
        <w:t>&gt;</w:t>
      </w:r>
      <w:r>
        <w:rPr>
          <w:rFonts w:ascii="Times New Roman" w:eastAsia="仿宋_GB2312" w:hAnsi="Times New Roman"/>
          <w:sz w:val="30"/>
          <w:szCs w:val="30"/>
        </w:rPr>
        <w:t>的通知》（汇发</w:t>
      </w:r>
      <w:r>
        <w:rPr>
          <w:rFonts w:ascii="Times New Roman" w:eastAsia="仿宋_GB2312" w:hAnsi="Times New Roman"/>
          <w:sz w:val="30"/>
          <w:szCs w:val="30"/>
        </w:rPr>
        <w:t>[2014]29</w:t>
      </w:r>
      <w:r>
        <w:rPr>
          <w:rFonts w:ascii="Times New Roman" w:eastAsia="仿宋_GB2312" w:hAnsi="Times New Roman"/>
          <w:sz w:val="30"/>
          <w:szCs w:val="30"/>
        </w:rPr>
        <w:t>号）；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．其他相关法规。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（二）受理机构</w:t>
      </w:r>
    </w:p>
    <w:p w:rsidR="00D97B5A" w:rsidRDefault="00D97B5A" w:rsidP="00D97B5A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申请人所在地外汇局。</w:t>
      </w:r>
    </w:p>
    <w:p w:rsidR="00D97B5A" w:rsidRDefault="00D97B5A" w:rsidP="00D97B5A">
      <w:pPr>
        <w:adjustRightInd w:val="0"/>
        <w:snapToGrid w:val="0"/>
        <w:spacing w:line="360" w:lineRule="auto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 xml:space="preserve">    </w:t>
      </w:r>
      <w:r>
        <w:rPr>
          <w:rFonts w:ascii="Times New Roman" w:eastAsia="黑体" w:hAnsi="Times New Roman"/>
          <w:sz w:val="30"/>
          <w:szCs w:val="30"/>
        </w:rPr>
        <w:t>（三）决定机构</w:t>
      </w:r>
    </w:p>
    <w:p w:rsidR="00D97B5A" w:rsidRDefault="00D97B5A" w:rsidP="00D97B5A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lastRenderedPageBreak/>
        <w:t xml:space="preserve">    </w:t>
      </w:r>
      <w:r>
        <w:rPr>
          <w:rFonts w:ascii="Times New Roman" w:eastAsia="仿宋_GB2312" w:hAnsi="Times New Roman"/>
          <w:sz w:val="30"/>
          <w:szCs w:val="30"/>
        </w:rPr>
        <w:t>申请人所在地外汇局。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（四）审批数量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无数量限制。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（五）办事条件</w:t>
      </w:r>
    </w:p>
    <w:p w:rsidR="00D97B5A" w:rsidRDefault="00D97B5A" w:rsidP="00D97B5A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金融机构办理外保内贷履约，如担保履约资金与担保项下债务提款币种不一致而需要办理结汇的，由其分行或总行</w:t>
      </w:r>
      <w:r>
        <w:rPr>
          <w:rFonts w:ascii="Times New Roman" w:eastAsia="仿宋_GB2312" w:hAnsi="Times New Roman"/>
          <w:sz w:val="30"/>
          <w:szCs w:val="30"/>
        </w:rPr>
        <w:t>/</w:t>
      </w:r>
      <w:r>
        <w:rPr>
          <w:rFonts w:ascii="Times New Roman" w:eastAsia="仿宋_GB2312" w:hAnsi="Times New Roman"/>
          <w:sz w:val="30"/>
          <w:szCs w:val="30"/>
        </w:rPr>
        <w:t>总部汇总自身及下属分支机构的担保履约款结汇申请后，向其所在地外汇局集中提出申请。</w:t>
      </w:r>
    </w:p>
    <w:p w:rsidR="00D97B5A" w:rsidRDefault="00D97B5A" w:rsidP="00D97B5A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禁止性要求：如符合上述条件，不存在不予许可的情况。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（六）申请材料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 w:rsidR="00D97B5A" w:rsidTr="00665B38">
        <w:tc>
          <w:tcPr>
            <w:tcW w:w="533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6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备注</w:t>
            </w:r>
          </w:p>
        </w:tc>
      </w:tr>
      <w:tr w:rsidR="00D97B5A" w:rsidTr="00665B38">
        <w:tc>
          <w:tcPr>
            <w:tcW w:w="533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书面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97B5A" w:rsidTr="00665B38">
        <w:trPr>
          <w:trHeight w:val="378"/>
        </w:trPr>
        <w:tc>
          <w:tcPr>
            <w:tcW w:w="533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验原件，留存加盖公章的复印件</w:t>
            </w:r>
          </w:p>
        </w:tc>
      </w:tr>
      <w:tr w:rsidR="00D97B5A" w:rsidTr="00665B38">
        <w:tc>
          <w:tcPr>
            <w:tcW w:w="533" w:type="dxa"/>
            <w:vAlign w:val="center"/>
          </w:tcPr>
          <w:p w:rsidR="00D97B5A" w:rsidRDefault="00D97B5A" w:rsidP="00665B3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结汇资金来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原件及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加盖公章的复印件</w:t>
            </w:r>
          </w:p>
        </w:tc>
        <w:tc>
          <w:tcPr>
            <w:tcW w:w="567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97B5A" w:rsidRDefault="00D97B5A" w:rsidP="00665B38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验原件，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留存加盖公章的复印件</w:t>
            </w:r>
          </w:p>
        </w:tc>
      </w:tr>
    </w:tbl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（七）申请接受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申请人可通过所在地外汇局业务窗口提交材料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（八）基本办理流程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申请人提交申请；</w:t>
      </w:r>
    </w:p>
    <w:p w:rsidR="00D97B5A" w:rsidRDefault="00D97B5A" w:rsidP="00D97B5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决定是否予以受理；</w:t>
      </w:r>
    </w:p>
    <w:p w:rsidR="00D97B5A" w:rsidRDefault="00D97B5A" w:rsidP="00D97B5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不予受理的，出具不予受理通知书；</w:t>
      </w:r>
    </w:p>
    <w:p w:rsidR="00D97B5A" w:rsidRDefault="00D97B5A" w:rsidP="00D97B5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4.</w:t>
      </w:r>
      <w:r>
        <w:rPr>
          <w:rFonts w:ascii="Times New Roman" w:eastAsia="仿宋_GB2312" w:hAnsi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D97B5A" w:rsidRDefault="00D97B5A" w:rsidP="00D97B5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5.</w:t>
      </w:r>
      <w:r>
        <w:rPr>
          <w:rFonts w:ascii="Times New Roman" w:eastAsia="仿宋_GB2312" w:hAnsi="Times New Roman"/>
          <w:sz w:val="30"/>
          <w:szCs w:val="30"/>
        </w:rPr>
        <w:t>不予许可的，出具不予许可通知书；许可的，向申请人出具相关业务办理凭证（包括业务登记凭证、核准文件、备案确认等）。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（九）办理方式</w:t>
      </w:r>
    </w:p>
    <w:p w:rsidR="00D97B5A" w:rsidRDefault="00D97B5A" w:rsidP="00D97B5A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一般程序：申请、告知补正、受理、审核、办理登记或不予许可、出具相关业务办理凭证。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（十）审批时限</w:t>
      </w:r>
    </w:p>
    <w:p w:rsidR="00D97B5A" w:rsidRDefault="00D97B5A" w:rsidP="00D97B5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lastRenderedPageBreak/>
        <w:t>申请人提交材料齐备之日起</w:t>
      </w: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/>
          <w:sz w:val="30"/>
          <w:szCs w:val="30"/>
        </w:rPr>
        <w:t>个工作日内。</w:t>
      </w:r>
    </w:p>
    <w:p w:rsidR="00D97B5A" w:rsidRDefault="00D97B5A" w:rsidP="00D97B5A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（十一）审批收费依据及标准</w:t>
      </w:r>
    </w:p>
    <w:p w:rsidR="00D97B5A" w:rsidRDefault="00D97B5A" w:rsidP="00D97B5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不收费。</w:t>
      </w:r>
    </w:p>
    <w:p w:rsidR="00D97B5A" w:rsidRDefault="00D97B5A" w:rsidP="00D97B5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（十二）审批结果</w:t>
      </w:r>
    </w:p>
    <w:p w:rsidR="00D97B5A" w:rsidRDefault="00D97B5A" w:rsidP="00D97B5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</w:rPr>
      </w:pPr>
      <w:r>
        <w:rPr>
          <w:rFonts w:ascii="Times New Roman" w:eastAsia="仿宋_GB2312" w:hAnsi="Times New Roman"/>
          <w:sz w:val="30"/>
        </w:rPr>
        <w:t>出具相关业务办理凭证。</w:t>
      </w:r>
    </w:p>
    <w:p w:rsidR="00D97B5A" w:rsidRDefault="00D97B5A" w:rsidP="00D97B5A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（十三）结果送达</w:t>
      </w:r>
    </w:p>
    <w:p w:rsidR="00D97B5A" w:rsidRDefault="00D97B5A" w:rsidP="00D97B5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通过现场告知或电话等方式通知申请人，并通过现场领取或通过邮寄等方式将结果送达。</w:t>
      </w:r>
    </w:p>
    <w:p w:rsidR="00D97B5A" w:rsidRDefault="00D97B5A" w:rsidP="00D97B5A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（十四）申请人权利和义务</w:t>
      </w:r>
    </w:p>
    <w:p w:rsidR="00D97B5A" w:rsidRPr="00CD70F0" w:rsidRDefault="00D97B5A" w:rsidP="00D97B5A">
      <w:pPr>
        <w:ind w:right="-58" w:firstLine="600"/>
        <w:rPr>
          <w:rFonts w:ascii="仿宋_GB2312" w:eastAsia="仿宋_GB2312"/>
          <w:sz w:val="30"/>
        </w:rPr>
      </w:pPr>
      <w:r>
        <w:rPr>
          <w:rFonts w:ascii="Times New Roman" w:eastAsia="仿宋_GB2312" w:hAnsi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D97B5A" w:rsidRPr="001E7587" w:rsidRDefault="00D97B5A" w:rsidP="00D97B5A">
      <w:pPr>
        <w:ind w:right="300" w:firstLine="600"/>
        <w:rPr>
          <w:rFonts w:ascii="黑体" w:eastAsia="黑体" w:hAnsi="黑体"/>
          <w:sz w:val="30"/>
          <w:szCs w:val="30"/>
        </w:rPr>
      </w:pPr>
      <w:r w:rsidRPr="00CD70F0">
        <w:rPr>
          <w:rFonts w:ascii="黑体" w:eastAsia="黑体" w:hAnsi="黑体" w:hint="eastAsia"/>
          <w:sz w:val="30"/>
          <w:szCs w:val="30"/>
        </w:rPr>
        <w:t>（十五）</w:t>
      </w:r>
      <w:r w:rsidRPr="00F03F07">
        <w:rPr>
          <w:rFonts w:ascii="黑体" w:eastAsia="黑体" w:hAnsi="黑体" w:hint="eastAsia"/>
          <w:sz w:val="30"/>
          <w:szCs w:val="30"/>
        </w:rPr>
        <w:t>咨询途径、监督和投诉、办公地址和时间</w:t>
      </w:r>
    </w:p>
    <w:p w:rsidR="00D97B5A" w:rsidRDefault="00D97B5A" w:rsidP="00D97B5A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7E3AD1">
        <w:rPr>
          <w:rFonts w:ascii="仿宋_GB2312" w:eastAsia="仿宋_GB2312" w:hint="eastAsia"/>
          <w:b/>
          <w:sz w:val="30"/>
          <w:szCs w:val="30"/>
        </w:rPr>
        <w:t>办理时间：</w:t>
      </w:r>
    </w:p>
    <w:p w:rsidR="00D97B5A" w:rsidRDefault="00D97B5A" w:rsidP="00D97B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国家外汇管理局天津市分局：周一到周五（法定节假日除外）上午8：30-12：00，下午14：00-17：00</w:t>
      </w:r>
    </w:p>
    <w:p w:rsidR="00D97B5A" w:rsidRPr="007E3AD1" w:rsidRDefault="00D97B5A" w:rsidP="00D97B5A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7E3AD1">
        <w:rPr>
          <w:rFonts w:ascii="仿宋_GB2312" w:eastAsia="仿宋_GB2312" w:hint="eastAsia"/>
          <w:b/>
          <w:sz w:val="30"/>
          <w:szCs w:val="30"/>
        </w:rPr>
        <w:t>办理地点：</w:t>
      </w:r>
    </w:p>
    <w:p w:rsidR="00D97B5A" w:rsidRDefault="00D97B5A" w:rsidP="00D97B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国家外汇管理局天津市分局：天津市和平区解放北路117号灰楼一楼大厅（资本项目）</w:t>
      </w:r>
    </w:p>
    <w:p w:rsidR="00D97B5A" w:rsidRPr="0021615A" w:rsidRDefault="00D97B5A" w:rsidP="00D97B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E3AD1">
        <w:rPr>
          <w:rFonts w:ascii="仿宋_GB2312" w:eastAsia="仿宋_GB2312" w:hint="eastAsia"/>
          <w:b/>
          <w:sz w:val="30"/>
          <w:szCs w:val="30"/>
        </w:rPr>
        <w:t>咨询电话：</w:t>
      </w:r>
      <w:r>
        <w:rPr>
          <w:rFonts w:ascii="仿宋_GB2312" w:eastAsia="仿宋_GB2312" w:hint="eastAsia"/>
          <w:sz w:val="30"/>
          <w:szCs w:val="30"/>
        </w:rPr>
        <w:t xml:space="preserve">022-23209129  </w:t>
      </w:r>
    </w:p>
    <w:p w:rsidR="00D97B5A" w:rsidRPr="00B46EB5" w:rsidRDefault="00D97B5A" w:rsidP="00D97B5A">
      <w:pPr>
        <w:ind w:firstLine="600"/>
        <w:rPr>
          <w:rFonts w:ascii="仿宋_GB2312" w:eastAsia="仿宋_GB2312"/>
          <w:sz w:val="30"/>
          <w:szCs w:val="30"/>
        </w:rPr>
      </w:pPr>
      <w:r w:rsidRPr="00DB43DE">
        <w:rPr>
          <w:rFonts w:ascii="仿宋_GB2312" w:eastAsia="仿宋_GB2312" w:hint="eastAsia"/>
          <w:b/>
          <w:sz w:val="30"/>
          <w:szCs w:val="30"/>
        </w:rPr>
        <w:lastRenderedPageBreak/>
        <w:t>投诉电话：</w:t>
      </w:r>
      <w:r>
        <w:rPr>
          <w:rFonts w:ascii="仿宋_GB2312" w:eastAsia="仿宋_GB2312" w:hint="eastAsia"/>
          <w:sz w:val="30"/>
          <w:szCs w:val="30"/>
        </w:rPr>
        <w:t>022-23209321</w:t>
      </w:r>
    </w:p>
    <w:p w:rsidR="00D97B5A" w:rsidRPr="007A1286" w:rsidRDefault="00D97B5A" w:rsidP="00D97B5A">
      <w:pPr>
        <w:ind w:right="300" w:firstLine="600"/>
        <w:rPr>
          <w:rFonts w:ascii="仿宋_GB2312" w:eastAsia="仿宋_GB2312"/>
          <w:sz w:val="30"/>
          <w:szCs w:val="30"/>
        </w:rPr>
        <w:sectPr w:rsidR="00D97B5A" w:rsidRPr="007A1286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97B5A" w:rsidRPr="00CD70F0" w:rsidRDefault="00D97B5A" w:rsidP="00D97B5A">
      <w:pPr>
        <w:ind w:right="3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lastRenderedPageBreak/>
        <w:t>附录一</w:t>
      </w:r>
    </w:p>
    <w:p w:rsidR="00D97B5A" w:rsidRPr="00CD70F0" w:rsidRDefault="00D97B5A" w:rsidP="00D97B5A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pict>
          <v:group id="_x0000_s2050" alt="" style="position:absolute;left:0;text-align:left;margin-left:-11.45pt;margin-top:30.8pt;width:446.05pt;height:586.05pt;z-index:251658240" coordsize="8921,11721">
            <v:rect id="_x0000_s2051" style="position:absolute;left:2908;top:8319;width:2985;height:534">
              <v:textbox>
                <w:txbxContent>
                  <w:p w:rsidR="00D97B5A" w:rsidRDefault="00D97B5A" w:rsidP="00D97B5A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2052" type="#_x0000_t116" style="position:absolute;left:4420;top:10681;width:3675;height:1037">
              <v:textbox>
                <w:txbxContent>
                  <w:p w:rsidR="00D97B5A" w:rsidRDefault="00D97B5A" w:rsidP="00D97B5A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D97B5A" w:rsidRDefault="00D97B5A" w:rsidP="00D97B5A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_x0000_s2053" type="#_x0000_t116" style="position:absolute;left:695;top:10663;width:3461;height:1058">
              <v:textbox>
                <w:txbxContent>
                  <w:p w:rsidR="00D97B5A" w:rsidRDefault="00D97B5A" w:rsidP="00D97B5A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D97B5A" w:rsidRDefault="00D97B5A" w:rsidP="00D97B5A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4382;top:7693;width:1;height:626" o:connectortype="straight">
              <v:stroke endarrow="block"/>
            </v:shape>
            <v:shape id="_x0000_s2055" type="#_x0000_t32" style="position:absolute;left:6331;top:9568;width:17;height:1095" o:connectortype="straight">
              <v:stroke endarrow="block"/>
            </v:shape>
            <v:shape id="_x0000_s2056" type="#_x0000_t32" style="position:absolute;left:2358;top:9568;width:1;height:1035" o:connectortype="straight">
              <v:stroke endarrow="block"/>
            </v:shape>
            <v:shape id="_x0000_s2057" type="#_x0000_t32" style="position:absolute;left:4383;top:8853;width:1;height:715" o:connectortype="straight"/>
            <v:shape id="_x0000_s2058" type="#_x0000_t32" style="position:absolute;left:2359;top:9568;width:3972;height:0" o:connectortype="straight"/>
            <v:group id="_x0000_s2059" alt="" style="position:absolute;width:8921;height:7693" coordsize="8921,7693">
              <v:shape id="_x0000_s2060" type="#_x0000_t32" style="position:absolute;left:5893;top:6566;width:0;height:608" o:connectortype="straight">
                <v:stroke endarrow="block"/>
              </v:shape>
              <v:group id="_x0000_s2061" alt="" style="position:absolute;width:8921;height:7693" coordsize="8921,769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2" type="#_x0000_t34" style="position:absolute;left:6366;top:3154;width:3823;height:1285;rotation:270" o:connectortype="elbow" adj="33,-146393,-5075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3" type="#_x0000_t202" style="position:absolute;left:7996;top:2297;width:754;height:2553" strokecolor="white">
                  <v:textbox>
                    <w:txbxContent>
                      <w:p w:rsidR="00D97B5A" w:rsidRDefault="00D97B5A" w:rsidP="00D97B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D97B5A" w:rsidRDefault="00D97B5A" w:rsidP="00D97B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_x0000_s2064" type="#_x0000_t32" style="position:absolute;left:5893;top:4472;width:0;height:378" o:connectortype="straight">
                  <v:stroke endarrow="block"/>
                </v:shape>
                <v:shape id="_x0000_s2065" type="#_x0000_t202" style="position:absolute;left:2568;top:6566;width:2737;height:477" strokecolor="white">
                  <v:textbox>
                    <w:txbxContent>
                      <w:p w:rsidR="00D97B5A" w:rsidRDefault="00D97B5A" w:rsidP="00D97B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2066" type="#_x0000_t4" style="position:absolute;left:4156;top:4833;width:3480;height:1733">
                  <v:textbox>
                    <w:txbxContent>
                      <w:p w:rsidR="00D97B5A" w:rsidRDefault="00D97B5A" w:rsidP="00D97B5A">
                        <w:pPr>
                          <w:jc w:val="center"/>
                        </w:pPr>
                      </w:p>
                      <w:p w:rsidR="00D97B5A" w:rsidRDefault="00D97B5A" w:rsidP="00D97B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_x0000_s2067" style="position:absolute;left:2568;top:7174;width:4816;height:519">
                  <v:textbox>
                    <w:txbxContent>
                      <w:p w:rsidR="00D97B5A" w:rsidRDefault="00D97B5A" w:rsidP="00D97B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D97B5A" w:rsidRDefault="00D97B5A" w:rsidP="00D97B5A">
                        <w:pPr>
                          <w:jc w:val="center"/>
                        </w:pPr>
                      </w:p>
                    </w:txbxContent>
                  </v:textbox>
                </v:rect>
                <v:rect id="_x0000_s2068" style="position:absolute;left:4566;top:3341;width:3190;height:1114">
                  <v:textbox>
                    <w:txbxContent>
                      <w:p w:rsidR="00D97B5A" w:rsidRDefault="00D97B5A" w:rsidP="00D97B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 w:rsidR="00D97B5A" w:rsidRDefault="00D97B5A" w:rsidP="00D97B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 w:rsidR="00D97B5A" w:rsidRDefault="00D97B5A" w:rsidP="00D97B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D97B5A" w:rsidRDefault="00D97B5A" w:rsidP="00D97B5A"/>
                    </w:txbxContent>
                  </v:textbox>
                </v:rect>
                <v:shape id="_x0000_s2069" type="#_x0000_t116" style="position:absolute;left:4566;top:1337;width:2818;height:1423">
                  <v:textbox>
                    <w:txbxContent>
                      <w:p w:rsidR="00D97B5A" w:rsidRDefault="00D97B5A" w:rsidP="00D97B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D97B5A" w:rsidRDefault="00D97B5A" w:rsidP="00D97B5A">
                        <w:pPr>
                          <w:jc w:val="center"/>
                        </w:pPr>
                      </w:p>
                    </w:txbxContent>
                  </v:textbox>
                </v:shape>
                <v:group id="_x0000_s2070" alt="" style="position:absolute;width:4594;height:7424" coordsize="4594,7424">
                  <v:shape id="_x0000_s2071" type="#_x0000_t32" style="position:absolute;left:3663;top:3910;width:931;height:0" o:connectortype="straight">
                    <v:stroke endarrow="block"/>
                  </v:shape>
                  <v:shape id="_x0000_s2072" type="#_x0000_t32" style="position:absolute;left:1355;top:3986;width:1;height:3437" o:connectortype="straight"/>
                  <v:group id="_x0000_s2073" alt="" style="position:absolute;width:3629;height:3986" coordsize="3629,3986">
                    <v:shape id="_x0000_s2074" type="#_x0000_t32" style="position:absolute;left:1396;top:1172;width:1;height:764" o:connectortype="straight">
                      <v:stroke endarrow="block"/>
                    </v:shape>
                    <v:shape id="_x0000_s2075" type="#_x0000_t32" style="position:absolute;left:2400;top:2967;width:1229;height:0" o:connectortype="straight"/>
                    <v:shape id="_x0000_s2076" type="#_x0000_t4" style="position:absolute;top:1936;width:2773;height:2050">
                      <v:textbox>
                        <w:txbxContent>
                          <w:p w:rsidR="00D97B5A" w:rsidRDefault="00D97B5A" w:rsidP="00D97B5A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D97B5A" w:rsidRDefault="00D97B5A" w:rsidP="00D97B5A"/>
                        </w:txbxContent>
                      </v:textbox>
                    </v:shape>
                    <v:shape id="_x0000_s2077" type="#_x0000_t116" style="position:absolute;left:184;width:2724;height:1172">
                      <v:textbox>
                        <w:txbxContent>
                          <w:p w:rsidR="00D97B5A" w:rsidRDefault="00D97B5A" w:rsidP="00D97B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_x0000_s2078" type="#_x0000_t32" style="position:absolute;left:1355;top:7423;width:1213;height:1" o:connectortype="straight">
                    <v:stroke endarrow="block"/>
                  </v:shape>
                  <v:shape id="_x0000_s2079" type="#_x0000_t32" style="position:absolute;left:3663;top:1999;width:0;height:1921" o:connectortype="straight"/>
                  <v:shape id="_x0000_s2080" type="#_x0000_t32" style="position:absolute;left:3663;top:1989;width:903;height:1" o:connectortype="straight">
                    <v:stroke endarrow="block"/>
                  </v:shape>
                  <v:shape id="_x0000_s2081" type="#_x0000_t202" style="position:absolute;left:597;top:5280;width:508;height:1152" strokecolor="white">
                    <v:textbox>
                      <w:txbxContent>
                        <w:p w:rsidR="00D97B5A" w:rsidRDefault="00D97B5A" w:rsidP="00D97B5A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2082" type="#_x0000_t202" style="position:absolute;left:2799;top:2220;width:508;height:471" strokecolor="white">
                    <v:textbox style="mso-fit-shape-to-text:t">
                      <w:txbxContent>
                        <w:p w:rsidR="00D97B5A" w:rsidRDefault="00D97B5A" w:rsidP="00D97B5A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_x0000_s2083" type="#_x0000_t32" style="position:absolute;left:7384;top:1886;width:1537;height:0;flip:x" o:connectortype="straight">
                  <v:stroke endarrow="block"/>
                </v:shape>
              </v:group>
            </v:group>
          </v:group>
        </w:pict>
      </w: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D97B5A" w:rsidRPr="00CD70F0" w:rsidRDefault="00D97B5A" w:rsidP="00D97B5A">
      <w:pPr>
        <w:ind w:right="300"/>
        <w:jc w:val="center"/>
        <w:rPr>
          <w:rFonts w:ascii="黑体" w:eastAsia="黑体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D97B5A" w:rsidRPr="00CD70F0" w:rsidRDefault="00D97B5A" w:rsidP="00D97B5A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D97B5A" w:rsidRPr="00CD70F0" w:rsidRDefault="00D97B5A" w:rsidP="00D97B5A">
      <w:pPr>
        <w:ind w:right="3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br w:type="page"/>
      </w:r>
      <w:r>
        <w:rPr>
          <w:rFonts w:ascii="仿宋_GB2312" w:eastAsia="仿宋_GB2312"/>
          <w:noProof/>
          <w:sz w:val="30"/>
          <w:szCs w:val="30"/>
        </w:rPr>
        <w:lastRenderedPageBreak/>
        <w:t xml:space="preserve"> </w:t>
      </w:r>
      <w:r>
        <w:rPr>
          <w:rFonts w:ascii="仿宋_GB2312" w:eastAsia="仿宋_GB2312"/>
          <w:noProof/>
          <w:sz w:val="30"/>
          <w:szCs w:val="30"/>
        </w:rPr>
        <w:pict>
          <v:shape id="_x0000_s2085" type="#_x0000_t32" style="position:absolute;left:0;text-align:left;margin-left:79.35pt;margin-top:-399.85pt;width:346pt;height:52.75pt;flip:y;z-index:251662336;mso-position-horizontal-relative:text;mso-position-vertical-relative:text" o:preferrelative="t" filled="t" strokecolor="red">
            <v:stroke endarrow="block" miterlimit="2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oval id="_x0000_s2084" style="position:absolute;left:0;text-align:left;margin-left:54.25pt;margin-top:-410.4pt;width:25.1pt;height:92.1pt;z-index:251661312;mso-position-horizontal-relative:text;mso-position-vertical-relative:text" o:preferrelative="t" filled="f" strokecolor="red">
            <v:stroke miterlimit="2"/>
          </v:oval>
        </w:pict>
      </w:r>
      <w:r w:rsidRPr="00CD70F0">
        <w:rPr>
          <w:rFonts w:ascii="仿宋_GB2312" w:eastAsia="仿宋_GB2312" w:hint="eastAsia"/>
          <w:sz w:val="30"/>
          <w:szCs w:val="30"/>
        </w:rPr>
        <w:t>附录</w:t>
      </w:r>
      <w:r>
        <w:rPr>
          <w:rFonts w:ascii="仿宋_GB2312" w:eastAsia="仿宋_GB2312" w:hint="eastAsia"/>
          <w:sz w:val="30"/>
          <w:szCs w:val="30"/>
        </w:rPr>
        <w:t>二</w:t>
      </w:r>
    </w:p>
    <w:p w:rsidR="00D97B5A" w:rsidRPr="00CD70F0" w:rsidRDefault="00D97B5A" w:rsidP="00D97B5A">
      <w:pPr>
        <w:ind w:right="-58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常见问题</w:t>
      </w:r>
    </w:p>
    <w:p w:rsidR="00D97B5A" w:rsidRPr="00CD70F0" w:rsidRDefault="00D97B5A" w:rsidP="00D97B5A">
      <w:pPr>
        <w:ind w:right="-58"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问：发生外保内贷履约的，金融机构是否可直接与境外担保人办理担保履约收款？</w:t>
      </w:r>
    </w:p>
    <w:p w:rsidR="00D97B5A" w:rsidRPr="00CD70F0" w:rsidRDefault="00D97B5A" w:rsidP="00D97B5A">
      <w:pPr>
        <w:ind w:right="-58"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 w:hint="eastAsia"/>
          <w:sz w:val="30"/>
          <w:szCs w:val="30"/>
        </w:rPr>
        <w:t>答：</w:t>
      </w:r>
      <w:r>
        <w:rPr>
          <w:rFonts w:ascii="Times New Roman" w:eastAsia="仿宋_GB2312" w:hAnsi="Times New Roman" w:hint="eastAsia"/>
          <w:sz w:val="30"/>
          <w:szCs w:val="30"/>
        </w:rPr>
        <w:t>已按规定办理登记的</w:t>
      </w:r>
      <w:r>
        <w:rPr>
          <w:rFonts w:ascii="Times New Roman" w:eastAsia="仿宋_GB2312" w:hAnsi="Times New Roman"/>
          <w:sz w:val="30"/>
          <w:szCs w:val="30"/>
        </w:rPr>
        <w:t>外保内贷</w:t>
      </w:r>
      <w:r>
        <w:rPr>
          <w:rFonts w:ascii="Times New Roman" w:eastAsia="仿宋_GB2312" w:hAnsi="Times New Roman" w:hint="eastAsia"/>
          <w:sz w:val="30"/>
          <w:szCs w:val="30"/>
        </w:rPr>
        <w:t>发生履约后，</w:t>
      </w:r>
      <w:r>
        <w:rPr>
          <w:rFonts w:ascii="Times New Roman" w:eastAsia="仿宋_GB2312" w:hAnsi="Times New Roman"/>
          <w:sz w:val="30"/>
          <w:szCs w:val="30"/>
        </w:rPr>
        <w:t>金融机构</w:t>
      </w:r>
      <w:r>
        <w:rPr>
          <w:rFonts w:ascii="Times New Roman" w:eastAsia="仿宋_GB2312" w:hAnsi="Times New Roman" w:hint="eastAsia"/>
          <w:sz w:val="30"/>
          <w:szCs w:val="30"/>
        </w:rPr>
        <w:t>可以</w:t>
      </w:r>
      <w:r>
        <w:rPr>
          <w:rFonts w:ascii="Times New Roman" w:eastAsia="仿宋_GB2312" w:hAnsi="Times New Roman"/>
          <w:sz w:val="30"/>
          <w:szCs w:val="30"/>
        </w:rPr>
        <w:t>直接与境外担保人办理担保履约收款</w:t>
      </w:r>
    </w:p>
    <w:p w:rsidR="0020750A" w:rsidRPr="00D97B5A" w:rsidRDefault="0020750A"/>
    <w:sectPr w:rsidR="0020750A" w:rsidRPr="00D97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0A" w:rsidRDefault="0020750A" w:rsidP="00D97B5A">
      <w:r>
        <w:separator/>
      </w:r>
    </w:p>
  </w:endnote>
  <w:endnote w:type="continuationSeparator" w:id="1">
    <w:p w:rsidR="0020750A" w:rsidRDefault="0020750A" w:rsidP="00D9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5A" w:rsidRDefault="00D97B5A">
    <w:pPr>
      <w:pStyle w:val="a4"/>
      <w:jc w:val="center"/>
    </w:pPr>
    <w:fldSimple w:instr=" PAGE   \* MERGEFORMAT ">
      <w:r w:rsidRPr="00D97B5A">
        <w:rPr>
          <w:noProof/>
          <w:lang w:val="zh-CN"/>
        </w:rPr>
        <w:t>1</w:t>
      </w:r>
    </w:fldSimple>
  </w:p>
  <w:p w:rsidR="00D97B5A" w:rsidRDefault="00D97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5A" w:rsidRDefault="00D97B5A">
    <w:pPr>
      <w:pStyle w:val="a4"/>
      <w:jc w:val="center"/>
    </w:pPr>
    <w:fldSimple w:instr=" PAGE   \* MERGEFORMAT ">
      <w:r w:rsidRPr="00D97B5A">
        <w:rPr>
          <w:noProof/>
          <w:lang w:val="zh-CN"/>
        </w:rPr>
        <w:t>8</w:t>
      </w:r>
    </w:fldSimple>
  </w:p>
  <w:p w:rsidR="00D97B5A" w:rsidRDefault="00D97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0A" w:rsidRDefault="0020750A" w:rsidP="00D97B5A">
      <w:r>
        <w:separator/>
      </w:r>
    </w:p>
  </w:footnote>
  <w:footnote w:type="continuationSeparator" w:id="1">
    <w:p w:rsidR="0020750A" w:rsidRDefault="0020750A" w:rsidP="00D97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B5A"/>
    <w:rsid w:val="0020750A"/>
    <w:rsid w:val="00D9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60"/>
        <o:r id="V:Rule2" type="connector" idref="#_x0000_s2071"/>
        <o:r id="V:Rule3" type="connector" idref="#_x0000_s2085"/>
        <o:r id="V:Rule4" type="connector" idref="#_x0000_s2055"/>
        <o:r id="V:Rule5" type="connector" idref="#_x0000_s2057"/>
        <o:r id="V:Rule6" type="connector" idref="#_x0000_s2079"/>
        <o:r id="V:Rule7" type="connector" idref="#_x0000_s2083"/>
        <o:r id="V:Rule8" type="connector" idref="#_x0000_s2056"/>
        <o:r id="V:Rule9" type="connector" idref="#_x0000_s2058"/>
        <o:r id="V:Rule10" type="connector" idref="#_x0000_s2078"/>
        <o:r id="V:Rule11" type="connector" idref="#_x0000_s2062"/>
        <o:r id="V:Rule12" type="connector" idref="#_x0000_s2072"/>
        <o:r id="V:Rule13" type="connector" idref="#_x0000_s2074"/>
        <o:r id="V:Rule14" type="connector" idref="#_x0000_s2080"/>
        <o:r id="V:Rule15" type="connector" idref="#_x0000_s2064"/>
        <o:r id="V:Rule16" type="connector" idref="#_x0000_s2075"/>
        <o:r id="V:Rule17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B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B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刘泽阳</dc:creator>
  <cp:keywords/>
  <dc:description/>
  <cp:lastModifiedBy>刘泽阳</cp:lastModifiedBy>
  <cp:revision>2</cp:revision>
  <dcterms:created xsi:type="dcterms:W3CDTF">2021-11-09T06:12:00Z</dcterms:created>
  <dcterms:modified xsi:type="dcterms:W3CDTF">2021-11-09T06:13:00Z</dcterms:modified>
</cp:coreProperties>
</file>