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9E" w:rsidRDefault="00256F37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57002-2              </w:t>
      </w:r>
      <w:r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3630" cy="88392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59E" w:rsidRDefault="0054159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54159E" w:rsidRDefault="00256F3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出口收汇事前审核</w:t>
      </w:r>
      <w:r>
        <w:rPr>
          <w:rFonts w:ascii="Times New Roman" w:eastAsia="黑体" w:hAnsi="Times New Roman" w:cs="Times New Roman"/>
          <w:sz w:val="52"/>
          <w:szCs w:val="52"/>
        </w:rPr>
        <w:t xml:space="preserve">” </w:t>
      </w:r>
    </w:p>
    <w:p w:rsidR="0054159E" w:rsidRDefault="00256F3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Pr="0065474E" w:rsidRDefault="00256F37" w:rsidP="0065474E">
      <w:pPr>
        <w:ind w:right="3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更新日期：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202</w:t>
      </w:r>
      <w:r w:rsidR="007E6DBC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65474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65474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54159E" w:rsidRDefault="00256F3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202</w:t>
      </w:r>
      <w:r w:rsidR="0054682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54682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bookmarkStart w:id="0" w:name="_GoBack"/>
      <w:bookmarkEnd w:id="0"/>
      <w:r w:rsidR="0054682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20</w:t>
      </w:r>
      <w:r w:rsidR="0065474E"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54159E" w:rsidRDefault="00256F3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7E6DBC"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54159E" w:rsidRDefault="0054159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54159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159E" w:rsidRDefault="00256F37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54159E" w:rsidRDefault="00256F37">
      <w:pPr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项目名称：出口单位出口收汇核查；</w:t>
      </w:r>
    </w:p>
    <w:p w:rsidR="0054159E" w:rsidRDefault="00256F37">
      <w:pPr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57002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子项名称：出口收汇事前审核；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54159E" w:rsidRDefault="00256F37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出口收汇事前审核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54159E" w:rsidRDefault="00256F37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号）第十二条：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489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出口单位出口收汇差额核销、核销备查核准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4159E" w:rsidRDefault="00256F37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四、办理依据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（二）《国家外汇管理局关于印发货物贸易外汇管理法规有关问题的通知》（汇发〔</w:t>
      </w:r>
      <w:r>
        <w:rPr>
          <w:rFonts w:ascii="Times New Roman" w:eastAsia="仿宋_GB2312" w:hAnsi="Times New Roman" w:cs="Times New Roman"/>
          <w:sz w:val="30"/>
          <w:szCs w:val="30"/>
        </w:rPr>
        <w:t>2012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38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  <w:lang w:bidi="zh-CN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三</w:t>
      </w:r>
      <w:r>
        <w:rPr>
          <w:rFonts w:ascii="Times New Roman" w:eastAsia="仿宋_GB2312" w:hAnsi="Times New Roman" w:cs="Times New Roman"/>
          <w:sz w:val="30"/>
          <w:szCs w:val="30"/>
        </w:rPr>
        <w:t>）《国家外汇管理局关于进一步促进跨境贸易投资便利化的通知》（汇发〔</w:t>
      </w:r>
      <w:r>
        <w:rPr>
          <w:rFonts w:ascii="Times New Roman" w:eastAsia="仿宋_GB2312" w:hAnsi="Times New Roman" w:cs="Times New Roman"/>
          <w:sz w:val="30"/>
          <w:szCs w:val="30"/>
        </w:rPr>
        <w:t>2019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号）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  <w:lang w:bidi="zh-CN"/>
        </w:rPr>
      </w:pPr>
      <w:r>
        <w:rPr>
          <w:rFonts w:ascii="Times New Roman" w:eastAsia="仿宋_GB2312" w:hAnsi="Times New Roman" w:cs="Times New Roman"/>
          <w:sz w:val="30"/>
          <w:szCs w:val="30"/>
          <w:lang w:bidi="zh-CN"/>
        </w:rPr>
        <w:lastRenderedPageBreak/>
        <w:t>（四）《国家外汇管理局关于优化外汇管理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支持涉外业务发展的通知》（汇发〔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2020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〕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8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号）；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（五）《国家外汇管理局关于印发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〈</w:t>
      </w:r>
      <w:r>
        <w:rPr>
          <w:rFonts w:ascii="Times New Roman" w:eastAsia="仿宋_GB2312" w:hAnsi="Times New Roman" w:cs="Times New Roman"/>
          <w:sz w:val="30"/>
          <w:szCs w:val="30"/>
        </w:rPr>
        <w:t>经常项目外汇业务指引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）〉</w:t>
      </w:r>
      <w:r>
        <w:rPr>
          <w:rFonts w:ascii="Times New Roman" w:eastAsia="仿宋_GB2312" w:hAnsi="Times New Roman" w:cs="Times New Roman"/>
          <w:sz w:val="30"/>
          <w:szCs w:val="30"/>
        </w:rPr>
        <w:t>的通知》（汇发〔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sz w:val="30"/>
          <w:szCs w:val="30"/>
        </w:rPr>
        <w:t>号）</w:t>
      </w:r>
      <w:r>
        <w:rPr>
          <w:rFonts w:ascii="Times New Roman" w:eastAsia="仿宋_GB2312" w:hAnsi="Times New Roman" w:cs="Times New Roman"/>
          <w:sz w:val="30"/>
          <w:szCs w:val="30"/>
          <w:lang w:bidi="zh-CN"/>
        </w:rPr>
        <w:t>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五、受理机构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六、决定机构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七、审批数量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八、办事条件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（一）申请人条件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1.C</w:t>
      </w:r>
      <w:r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超过收汇额度的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发生</w:t>
      </w:r>
      <w:r>
        <w:rPr>
          <w:rFonts w:ascii="Times New Roman" w:eastAsia="仿宋_GB2312" w:hAnsi="Times New Roman" w:cs="Times New Roman"/>
          <w:sz w:val="30"/>
          <w:szCs w:val="30"/>
        </w:rPr>
        <w:t>90</w:t>
      </w:r>
      <w:r>
        <w:rPr>
          <w:rFonts w:ascii="Times New Roman" w:eastAsia="仿宋_GB2312" w:hAnsi="Times New Roman" w:cs="Times New Roman"/>
          <w:sz w:val="30"/>
          <w:szCs w:val="30"/>
        </w:rPr>
        <w:t>天以上（不含）延期收款的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办理</w:t>
      </w:r>
      <w:r>
        <w:rPr>
          <w:rFonts w:ascii="Times New Roman" w:eastAsia="仿宋_GB2312" w:hAnsi="Times New Roman" w:cs="Times New Roman"/>
          <w:sz w:val="30"/>
          <w:szCs w:val="30"/>
        </w:rPr>
        <w:t>退汇日期与原收、付款日期间隔在</w:t>
      </w:r>
      <w:r>
        <w:rPr>
          <w:rFonts w:ascii="Times New Roman" w:eastAsia="仿宋_GB2312" w:hAnsi="Times New Roman" w:cs="Times New Roman"/>
          <w:sz w:val="30"/>
          <w:szCs w:val="30"/>
        </w:rPr>
        <w:t>180</w:t>
      </w:r>
      <w:r>
        <w:rPr>
          <w:rFonts w:ascii="Times New Roman" w:eastAsia="仿宋_GB2312" w:hAnsi="Times New Roman" w:cs="Times New Roman"/>
          <w:sz w:val="30"/>
          <w:szCs w:val="30"/>
        </w:rPr>
        <w:t>天以上（不含）或由于特殊情况无法原路退回的退汇业务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时，</w:t>
      </w:r>
      <w:r>
        <w:rPr>
          <w:rFonts w:ascii="Times New Roman" w:eastAsia="仿宋_GB2312" w:hAnsi="Times New Roman" w:cs="Times New Roman"/>
          <w:sz w:val="30"/>
          <w:szCs w:val="30"/>
        </w:rPr>
        <w:t>A</w:t>
      </w:r>
      <w:r>
        <w:rPr>
          <w:rFonts w:ascii="Times New Roman" w:eastAsia="仿宋_GB2312" w:hAnsi="Times New Roman" w:cs="Times New Roman"/>
          <w:sz w:val="30"/>
          <w:szCs w:val="30"/>
        </w:rPr>
        <w:t>类企业单笔等值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万美元以上（不含）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或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C</w:t>
      </w:r>
      <w:r>
        <w:rPr>
          <w:rFonts w:ascii="Times New Roman" w:eastAsia="仿宋_GB2312" w:hAnsi="Times New Roman" w:cs="Times New Roman"/>
          <w:sz w:val="30"/>
          <w:szCs w:val="30"/>
        </w:rPr>
        <w:t>类企业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需要将待核查账户内误入的资本项目资金结汇或划出的企业；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6.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办理新出现的贸易新业态外汇收入业务的企业。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（二）具备或符合如下条件的，准予批准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对于</w:t>
      </w:r>
      <w:r>
        <w:rPr>
          <w:rFonts w:ascii="Times New Roman" w:eastAsia="仿宋_GB2312" w:hAnsi="Times New Roman" w:cs="Times New Roman"/>
          <w:sz w:val="30"/>
          <w:szCs w:val="30"/>
        </w:rPr>
        <w:t>C</w:t>
      </w:r>
      <w:r>
        <w:rPr>
          <w:rFonts w:ascii="Times New Roman" w:eastAsia="仿宋_GB2312" w:hAnsi="Times New Roman" w:cs="Times New Roman"/>
          <w:sz w:val="30"/>
          <w:szCs w:val="30"/>
        </w:rPr>
        <w:t>类企业：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交易合规：</w:t>
      </w:r>
      <w:r>
        <w:rPr>
          <w:rFonts w:ascii="Times New Roman" w:eastAsia="仿宋_GB2312" w:hAnsi="Times New Roman" w:cs="Times New Roman"/>
          <w:sz w:val="30"/>
          <w:szCs w:val="30"/>
        </w:rPr>
        <w:t>C</w:t>
      </w:r>
      <w:r>
        <w:rPr>
          <w:rFonts w:ascii="Times New Roman" w:eastAsia="仿宋_GB2312" w:hAnsi="Times New Roman" w:cs="Times New Roman"/>
          <w:sz w:val="30"/>
          <w:szCs w:val="30"/>
        </w:rPr>
        <w:t>类企业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原则上</w:t>
      </w:r>
      <w:r>
        <w:rPr>
          <w:rFonts w:ascii="Times New Roman" w:eastAsia="仿宋_GB2312" w:hAnsi="Times New Roman" w:cs="Times New Roman"/>
          <w:sz w:val="30"/>
          <w:szCs w:val="30"/>
        </w:rPr>
        <w:t>不得签订包含</w:t>
      </w:r>
      <w:r>
        <w:rPr>
          <w:rFonts w:ascii="Times New Roman" w:eastAsia="仿宋_GB2312" w:hAnsi="Times New Roman" w:cs="Times New Roman"/>
          <w:sz w:val="30"/>
          <w:szCs w:val="30"/>
        </w:rPr>
        <w:t>90</w:t>
      </w:r>
      <w:r>
        <w:rPr>
          <w:rFonts w:ascii="Times New Roman" w:eastAsia="仿宋_GB2312" w:hAnsi="Times New Roman" w:cs="Times New Roman"/>
          <w:sz w:val="30"/>
          <w:szCs w:val="30"/>
        </w:rPr>
        <w:t>天以上（不含）收汇条款的出口合同；不得办理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离岸转手买卖</w:t>
      </w:r>
      <w:r>
        <w:rPr>
          <w:rFonts w:ascii="Times New Roman" w:eastAsia="仿宋_GB2312" w:hAnsi="Times New Roman" w:cs="Times New Roman"/>
          <w:sz w:val="30"/>
          <w:szCs w:val="30"/>
        </w:rPr>
        <w:t>外汇收入；</w:t>
      </w:r>
      <w:r>
        <w:rPr>
          <w:rFonts w:ascii="Times New Roman" w:eastAsia="仿宋_GB2312" w:hAnsi="Times New Roman" w:cs="Times New Roman"/>
          <w:sz w:val="30"/>
          <w:szCs w:val="30"/>
        </w:rPr>
        <w:br/>
        <w:t xml:space="preserve">    2.</w:t>
      </w:r>
      <w:r>
        <w:rPr>
          <w:rFonts w:ascii="Times New Roman" w:eastAsia="仿宋_GB2312" w:hAnsi="Times New Roman" w:cs="Times New Roman"/>
          <w:sz w:val="30"/>
          <w:szCs w:val="30"/>
        </w:rPr>
        <w:t>对于超过收汇额度的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类企业：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交易合规：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原则上</w:t>
      </w:r>
      <w:r>
        <w:rPr>
          <w:rFonts w:ascii="Times New Roman" w:eastAsia="仿宋_GB2312" w:hAnsi="Times New Roman" w:cs="Times New Roman"/>
          <w:sz w:val="30"/>
          <w:szCs w:val="30"/>
        </w:rPr>
        <w:t>不得签订包含</w:t>
      </w:r>
      <w:r>
        <w:rPr>
          <w:rFonts w:ascii="Times New Roman" w:eastAsia="仿宋_GB2312" w:hAnsi="Times New Roman" w:cs="Times New Roman"/>
          <w:sz w:val="30"/>
          <w:szCs w:val="30"/>
        </w:rPr>
        <w:t>90</w:t>
      </w:r>
      <w:r>
        <w:rPr>
          <w:rFonts w:ascii="Times New Roman" w:eastAsia="仿宋_GB2312" w:hAnsi="Times New Roman" w:cs="Times New Roman"/>
          <w:sz w:val="30"/>
          <w:szCs w:val="30"/>
        </w:rPr>
        <w:t>天以上（不含）收汇条款的出口合同；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不得办理离岸转手买卖</w:t>
      </w:r>
      <w:r>
        <w:rPr>
          <w:rFonts w:ascii="Times New Roman" w:eastAsia="仿宋_GB2312" w:hAnsi="Times New Roman" w:cs="Times New Roman"/>
          <w:sz w:val="30"/>
          <w:szCs w:val="30"/>
        </w:rPr>
        <w:t>外汇收入；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对于</w:t>
      </w:r>
      <w:r>
        <w:rPr>
          <w:rFonts w:ascii="Times New Roman" w:eastAsia="仿宋_GB2312" w:hAnsi="Times New Roman" w:cs="Times New Roman"/>
          <w:sz w:val="30"/>
          <w:szCs w:val="30"/>
        </w:rPr>
        <w:t>90</w:t>
      </w:r>
      <w:r>
        <w:rPr>
          <w:rFonts w:ascii="Times New Roman" w:eastAsia="仿宋_GB2312" w:hAnsi="Times New Roman" w:cs="Times New Roman"/>
          <w:sz w:val="30"/>
          <w:szCs w:val="30"/>
        </w:rPr>
        <w:t>天（不含）以上延期收款的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类企业：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交易合规：</w:t>
      </w:r>
      <w:r>
        <w:rPr>
          <w:rFonts w:ascii="Times New Roman" w:eastAsia="仿宋_GB2312" w:hAnsi="Times New Roman" w:cs="Times New Roman"/>
          <w:sz w:val="30"/>
          <w:szCs w:val="30"/>
        </w:rPr>
        <w:t>在分类监管有效期内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，此前导致降级的情况已改善或纠正，</w:t>
      </w:r>
      <w:r>
        <w:rPr>
          <w:rFonts w:ascii="Times New Roman" w:eastAsia="仿宋_GB2312" w:hAnsi="Times New Roman" w:cs="Times New Roman"/>
          <w:sz w:val="30"/>
          <w:szCs w:val="30"/>
        </w:rPr>
        <w:t>且没有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发生法规规定情形</w:t>
      </w:r>
      <w:r>
        <w:rPr>
          <w:rFonts w:ascii="Times New Roman" w:eastAsia="仿宋_GB2312" w:hAnsi="Times New Roman" w:cs="Times New Roman"/>
          <w:sz w:val="30"/>
          <w:szCs w:val="30"/>
        </w:rPr>
        <w:t>的，自列入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类之日起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个月后，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可</w:t>
      </w:r>
      <w:r>
        <w:rPr>
          <w:rFonts w:ascii="Times New Roman" w:eastAsia="仿宋_GB2312" w:hAnsi="Times New Roman" w:cs="Times New Roman"/>
          <w:sz w:val="30"/>
          <w:szCs w:val="30"/>
        </w:rPr>
        <w:t>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登记办理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该</w:t>
      </w:r>
      <w:r>
        <w:rPr>
          <w:rFonts w:ascii="Times New Roman" w:eastAsia="仿宋_GB2312" w:hAnsi="Times New Roman" w:cs="Times New Roman"/>
          <w:sz w:val="30"/>
          <w:szCs w:val="30"/>
        </w:rPr>
        <w:t>业务。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对于超期限或无法原路退汇的企业：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交易合规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对于需要将待核查账户内误入的资本项目资金结汇或划出的企业：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交易合规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6.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办理新出现的贸易新业态外汇收入的企业：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交易合规。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</w:t>
      </w: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申请材料不齐全，不符合法规规定。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2.</w:t>
      </w:r>
      <w:r>
        <w:rPr>
          <w:rFonts w:ascii="Times New Roman" w:eastAsia="仿宋_GB2312" w:hAnsi="Times New Roman" w:cs="Times New Roman"/>
          <w:sz w:val="30"/>
          <w:szCs w:val="30"/>
        </w:rPr>
        <w:t>申请业务不具有真实、合法的交易背景。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九、申请材料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</w:t>
      </w:r>
      <w:r>
        <w:rPr>
          <w:rFonts w:ascii="Times New Roman" w:eastAsia="仿宋_GB2312" w:hAnsi="Times New Roman" w:cs="Times New Roman"/>
          <w:sz w:val="30"/>
          <w:szCs w:val="30"/>
        </w:rPr>
        <w:t>C</w:t>
      </w:r>
      <w:r>
        <w:rPr>
          <w:rFonts w:ascii="Times New Roman" w:eastAsia="仿宋_GB2312" w:hAnsi="Times New Roman" w:cs="Times New Roman"/>
          <w:sz w:val="30"/>
          <w:szCs w:val="30"/>
        </w:rPr>
        <w:t>类企业出口收汇登记申请材料清单</w:t>
      </w:r>
    </w:p>
    <w:tbl>
      <w:tblPr>
        <w:tblStyle w:val="a6"/>
        <w:tblW w:w="8613" w:type="dxa"/>
        <w:tblLook w:val="04A0"/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</w:p>
        </w:tc>
        <w:tc>
          <w:tcPr>
            <w:tcW w:w="1176" w:type="dxa"/>
            <w:vMerge w:val="restart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对于代理出口业务，代理方为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类企业的，应当按规定办理贸易外汇收入登记。</w:t>
            </w: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keepNext/>
              <w:keepLines/>
              <w:spacing w:before="260" w:after="260" w:line="41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一般情况（含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，应提交出口合同；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对于贸易付汇的退汇收入，因错误汇出以外的其他原因产生的，提交原进口合同。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预收货款方式结算时提供；出口贸易融资放款时提供。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除信用证、托收、预收货款外其他方式结算的，货物已出口报关的，需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因汇路不畅需要使用外币现钞结算的，办理外币现钞结汇业务登记时应提交；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发生货物退运而产生贸易付汇的退汇收入时应提供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出口报关单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分立、合并证明文件</w:t>
            </w:r>
          </w:p>
          <w:p w:rsidR="0054159E" w:rsidRDefault="0054159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因企业分立、合并原因导致出口与收入主体不一致的，应提交相关部门出具的分立、合并证明文件。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原支付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贸易付汇退汇时提供原支付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凭证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退汇协议、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错汇情况说明等能够证明收汇真实性的材料</w:t>
            </w:r>
          </w:p>
        </w:tc>
        <w:tc>
          <w:tcPr>
            <w:tcW w:w="127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原件和复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2934" w:type="dxa"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（二）超过收汇额度的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类企业出口收汇登记申请材料清单</w:t>
      </w:r>
    </w:p>
    <w:tbl>
      <w:tblPr>
        <w:tblStyle w:val="a6"/>
        <w:tblW w:w="8613" w:type="dxa"/>
        <w:tblLook w:val="04A0"/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说明为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对于代理业务，代理方为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类企业且可收汇额度不足的，应当按规定办理贸易外汇收入登记。</w:t>
            </w:r>
          </w:p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一般情况（含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，应提交出口合同；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对于贸易付汇的退汇收入，因错误汇出以外的其他原因产生的，提交原进口合同。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预收货款方式结算时提供；出口贸易融资放款时提供。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除信用证、托收、预收货款外其他方式结算的，货物已出口报关的，需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因汇路不畅需要使用外币现钞结算的，办理外币现钞结汇业务登记时应提交；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发生货物退运而产生贸易付汇的退汇收入时应提供。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因企业分立、合并原因导致出口与收入主体不一致的，应提交相关部门出具的分立、合并证明文件。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原支付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贸易付汇退汇时提供原支付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凭证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696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</w:t>
      </w:r>
      <w:r>
        <w:rPr>
          <w:rFonts w:ascii="Times New Roman" w:eastAsia="仿宋_GB2312" w:hAnsi="Times New Roman" w:cs="Times New Roman"/>
          <w:sz w:val="30"/>
          <w:szCs w:val="30"/>
        </w:rPr>
        <w:t>90</w:t>
      </w:r>
      <w:r>
        <w:rPr>
          <w:rFonts w:ascii="Times New Roman" w:eastAsia="仿宋_GB2312" w:hAnsi="Times New Roman" w:cs="Times New Roman"/>
          <w:sz w:val="30"/>
          <w:szCs w:val="30"/>
        </w:rPr>
        <w:t>天以上延期收款的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类企业出口收汇登记申请材料清单</w:t>
      </w:r>
    </w:p>
    <w:tbl>
      <w:tblPr>
        <w:tblStyle w:val="a6"/>
        <w:tblW w:w="8613" w:type="dxa"/>
        <w:tblLook w:val="04A0"/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天以上延期收款的证明材料</w:t>
            </w:r>
          </w:p>
        </w:tc>
        <w:tc>
          <w:tcPr>
            <w:tcW w:w="1985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a6"/>
        <w:tblW w:w="8613" w:type="dxa"/>
        <w:tblLook w:val="04A0"/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说明需要登记的具体内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原支出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/>
            <w:vAlign w:val="center"/>
          </w:tcPr>
          <w:p w:rsidR="0054159E" w:rsidRDefault="0054159E">
            <w:pPr>
              <w:keepNext/>
              <w:keepLines/>
              <w:spacing w:before="260" w:after="260" w:line="416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发生货物退运时提供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出口报关单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（五）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错汇入</w:t>
      </w:r>
      <w:r>
        <w:rPr>
          <w:rFonts w:ascii="Times New Roman" w:eastAsia="仿宋_GB2312" w:hAnsi="Times New Roman" w:cs="Times New Roman"/>
          <w:sz w:val="30"/>
          <w:szCs w:val="30"/>
        </w:rPr>
        <w:t>待核查账户的资本项目资金结汇或划出登记申请材料清单</w:t>
      </w:r>
    </w:p>
    <w:tbl>
      <w:tblPr>
        <w:tblStyle w:val="a6"/>
        <w:tblW w:w="8613" w:type="dxa"/>
        <w:tblLook w:val="04A0"/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收汇凭证和资金来源证明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（六）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新出现的贸易新业态出口收汇登记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Style w:val="a6"/>
        <w:tblW w:w="8613" w:type="dxa"/>
        <w:tblLook w:val="04A0"/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号</w:t>
            </w:r>
          </w:p>
        </w:tc>
        <w:tc>
          <w:tcPr>
            <w:tcW w:w="121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提交材料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4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复印件</w:t>
            </w:r>
          </w:p>
        </w:tc>
        <w:tc>
          <w:tcPr>
            <w:tcW w:w="70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份数</w:t>
            </w:r>
          </w:p>
        </w:tc>
        <w:tc>
          <w:tcPr>
            <w:tcW w:w="113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1701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要求</w:t>
            </w:r>
          </w:p>
        </w:tc>
        <w:tc>
          <w:tcPr>
            <w:tcW w:w="198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701" w:type="dxa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4159E" w:rsidRDefault="0054159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159E">
        <w:tc>
          <w:tcPr>
            <w:tcW w:w="45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54159E" w:rsidRDefault="00256F3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159E" w:rsidRDefault="00256F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701" w:type="dxa"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159E" w:rsidRDefault="0054159E">
            <w:pPr>
              <w:keepNext/>
              <w:keepLines/>
              <w:spacing w:before="340" w:after="330" w:line="578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十、申请接受</w:t>
      </w:r>
    </w:p>
    <w:p w:rsidR="0054159E" w:rsidRDefault="00256F3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申请人可通过国家外汇管理局分支局提交材料。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十一、基本办理流程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（一）申请人提交申请；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（二）决定是否予以受理；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（三）不属于本机构受理范围的，出具不予受理行政许可通知书；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（五）材料齐全的，依法予以受理，并出具行政许可受理通知书；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 w:rsidR="0054159E" w:rsidRDefault="00256F37">
      <w:pPr>
        <w:tabs>
          <w:tab w:val="left" w:pos="615"/>
        </w:tabs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十二、办理方式</w:t>
      </w:r>
    </w:p>
    <w:p w:rsidR="0054159E" w:rsidRDefault="00256F37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一般程序：申请、受理、审查、决定。</w:t>
      </w:r>
    </w:p>
    <w:p w:rsidR="0054159E" w:rsidRDefault="00256F37">
      <w:pPr>
        <w:tabs>
          <w:tab w:val="left" w:pos="615"/>
        </w:tabs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十三、审批时限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54159E" w:rsidRDefault="00256F37">
      <w:pPr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十四、审批收费依据及标准</w:t>
      </w:r>
    </w:p>
    <w:p w:rsidR="0054159E" w:rsidRDefault="00256F37">
      <w:pPr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十五、审批结果</w:t>
      </w:r>
    </w:p>
    <w:p w:rsidR="0054159E" w:rsidRDefault="00256F37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外汇局向申请企业出具贸易外汇业务登记表。</w:t>
      </w:r>
    </w:p>
    <w:p w:rsidR="0054159E" w:rsidRDefault="00256F37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十六、结果送达</w:t>
      </w:r>
    </w:p>
    <w:p w:rsidR="0054159E" w:rsidRDefault="00256F37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通过电话等方式通知申请企业，并通过现场领取或邮寄等方式将结果送达。</w:t>
      </w:r>
    </w:p>
    <w:p w:rsidR="0054159E" w:rsidRDefault="00256F37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十七、申请人权利和义务</w:t>
      </w:r>
    </w:p>
    <w:p w:rsidR="0054159E" w:rsidRDefault="00256F37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7E6DBC" w:rsidRDefault="007E6DBC" w:rsidP="007E6DBC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十八、咨询、监督和投诉、公开查询</w:t>
      </w:r>
      <w:r>
        <w:rPr>
          <w:rFonts w:ascii="Times New Roman" w:eastAsia="黑体" w:hAnsi="Times New Roman" w:cs="Times New Roman" w:hint="eastAsia"/>
          <w:sz w:val="30"/>
          <w:szCs w:val="30"/>
        </w:rPr>
        <w:t>途径</w:t>
      </w:r>
    </w:p>
    <w:p w:rsidR="007E6DBC" w:rsidRDefault="007E6DBC" w:rsidP="007E6DBC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国家外汇管理局滨海新区中心支局</w:t>
      </w:r>
      <w:r>
        <w:rPr>
          <w:rFonts w:ascii="Times New Roman" w:eastAsia="仿宋_GB2312" w:hAnsi="Times New Roman" w:cs="Times New Roman"/>
          <w:sz w:val="30"/>
          <w:szCs w:val="30"/>
        </w:rPr>
        <w:t>进行咨询、进程查询、监督和投诉等可通过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官方互联网站的相应栏目进行。网址可通过</w:t>
      </w:r>
      <w:hyperlink r:id="rId10" w:history="1">
        <w:r>
          <w:rPr>
            <w:rFonts w:ascii="Times New Roman" w:eastAsia="仿宋_GB2312" w:hAnsi="Times New Roman" w:cs="Times New Roman"/>
            <w:sz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进行链接。</w:t>
      </w:r>
    </w:p>
    <w:p w:rsidR="007E6DBC" w:rsidRDefault="007E6DBC" w:rsidP="007E6DBC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022-6623919</w:t>
      </w:r>
      <w:r w:rsidR="001D6F2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，监督投诉电话：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022--</w:t>
      </w:r>
      <w:r w:rsidRPr="00C71B9D">
        <w:rPr>
          <w:rFonts w:ascii="Times New Roman" w:eastAsia="仿宋_GB2312" w:hAnsi="Times New Roman" w:cs="Times New Roman"/>
          <w:sz w:val="30"/>
          <w:szCs w:val="30"/>
        </w:rPr>
        <w:t>66239192</w:t>
      </w:r>
      <w:r w:rsidR="00DC4E3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4159E" w:rsidRDefault="00256F37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十九、事项审查类型</w:t>
      </w:r>
    </w:p>
    <w:p w:rsidR="0054159E" w:rsidRDefault="00256F37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前审后批。</w:t>
      </w:r>
    </w:p>
    <w:p w:rsidR="0054159E" w:rsidRDefault="00256F37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二十、办公地址和时间</w:t>
      </w:r>
    </w:p>
    <w:p w:rsidR="007E6DBC" w:rsidRDefault="007E6DBC" w:rsidP="007E6DBC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办公地址：天津市滨海新区开发新城东路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DC4E3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7E6DBC" w:rsidRPr="00DE4661" w:rsidRDefault="007E6DBC" w:rsidP="007E6DBC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8:30-12:00,14:00-17:00</w:t>
      </w:r>
      <w:r w:rsidR="00DC4E3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4159E" w:rsidRDefault="00256F3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二十一、常见问题解答和错误示例。</w:t>
      </w:r>
    </w:p>
    <w:p w:rsidR="0054159E" w:rsidRDefault="00256F37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《贸易外汇业务登记表》的有效期是多久？</w:t>
      </w:r>
    </w:p>
    <w:p w:rsidR="0054159E" w:rsidRDefault="00256F37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《贸易外汇业务登记表》有效期原则上不超过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个月。</w:t>
      </w:r>
    </w:p>
    <w:p w:rsidR="0054159E" w:rsidRDefault="00256F37">
      <w:pPr>
        <w:widowControl/>
        <w:spacing w:line="384" w:lineRule="auto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错误示例</w:t>
      </w:r>
    </w:p>
    <w:p w:rsidR="0054159E" w:rsidRDefault="00256F37">
      <w:pPr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企业在填写申请书时，要写明具体的登记业务类型，如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类企业办理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90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天以上延期收款登记，注意不要只填写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类企业登记业务。</w:t>
      </w:r>
    </w:p>
    <w:p w:rsidR="0054159E" w:rsidRDefault="0054159E">
      <w:pPr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54159E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159E" w:rsidRDefault="00256F3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</w:p>
    <w:p w:rsidR="0054159E" w:rsidRDefault="00256F3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54159E" w:rsidRDefault="0025539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255396">
        <w:rPr>
          <w:rFonts w:ascii="Times New Roman" w:eastAsia="仿宋_GB2312" w:hAnsi="Times New Roman" w:cs="Times New Roman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-12.9pt;margin-top:26.45pt;width:101.35pt;height:73.8pt;z-index:251679744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54159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4159E" w:rsidRDefault="0025539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9.75pt;margin-top:6.65pt;width:.85pt;height:54.9pt;z-index:251688960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8" type="#_x0000_t32" style="position:absolute;left:0;text-align:left;margin-left:41.45pt;margin-top:21.05pt;width:232.15pt;height:.05pt;flip:x;z-index:25169305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047" style="position:absolute;left:0;text-align:left;margin-left:273.6pt;margin-top:1.6pt;width:146.45pt;height:33.7pt;z-index:251681792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54159E" w:rsidRDefault="00255396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5415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2" type="#_x0000_t116" style="position:absolute;margin-left:216.4pt;margin-top:371.2pt;width:180.85pt;height:53.15pt;z-index:251686912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3" type="#_x0000_t116" style="position:absolute;margin-left:-3.1pt;margin-top:371.2pt;width:205.8pt;height:52.7pt;z-index:251687936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61" type="#_x0000_t32" style="position:absolute;margin-left:122.1pt;margin-top:318.35pt;width:.05pt;height:52.85pt;z-index:25169612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9" type="#_x0000_t32" style="position:absolute;margin-left:179.6pt;margin-top:233pt;width:.05pt;height:30.55pt;z-index:251694080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050" style="position:absolute;margin-left:81.7pt;margin-top:163.15pt;width:210.9pt;height:69.85pt;z-index:251684864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材料齐全的，依法予以受理</w:t>
                  </w:r>
                </w:p>
                <w:p w:rsidR="0054159E" w:rsidRDefault="0054159E"/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6" type="#_x0000_t32" style="position:absolute;margin-left:81.7pt;margin-top:109.6pt;width:70.25pt;height:.05pt;z-index:25169100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5" type="#_x0000_t32" style="position:absolute;margin-left:88.45pt;margin-top:61.45pt;width:63.5pt;height:.05pt;z-index:251689984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margin-left:-41.75pt;margin-top:30.35pt;width:163.9pt;height:106.45pt;z-index:251680768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个工作日内作出是否受理决定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60" type="#_x0000_t32" style="position:absolute;margin-left:247.8pt;margin-top:318.35pt;width:.85pt;height:52.85pt;z-index:251695104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1" type="#_x0000_t4" style="position:absolute;margin-left:93.35pt;margin-top:263.55pt;width:176.8pt;height:85.4pt;z-index:251685888">
            <v:textbox>
              <w:txbxContent>
                <w:p w:rsidR="0054159E" w:rsidRDefault="0054159E">
                  <w:pPr>
                    <w:jc w:val="center"/>
                  </w:pPr>
                </w:p>
                <w:p w:rsidR="0054159E" w:rsidRDefault="00256F37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62" type="#_x0000_t32" style="position:absolute;margin-left:40.6pt;margin-top:132.2pt;width:.05pt;height:50.65pt;z-index:251697152" o:connectortype="straight"/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63" type="#_x0000_t32" style="position:absolute;margin-left:40.6pt;margin-top:182.85pt;width:41.1pt;height:0;z-index:25169817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049" style="position:absolute;margin-left:151.95pt;margin-top:91.5pt;width:268.1pt;height:45.3pt;z-index:251683840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057" type="#_x0000_t32" style="position:absolute;margin-left:345.35pt;margin-top:4.1pt;width:.05pt;height:44.75pt;flip:y;z-index:251692032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048" style="position:absolute;margin-left:151.95pt;margin-top:48.85pt;width:268.1pt;height:25pt;z-index:251682816">
            <v:textbox>
              <w:txbxContent>
                <w:p w:rsidR="0054159E" w:rsidRDefault="00256F37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 w:rsidR="0054159E" w:rsidRDefault="00256F37">
      <w:pPr>
        <w:widowControl/>
        <w:spacing w:line="384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附录二（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材料示范文本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</w:p>
    <w:p w:rsidR="0054159E" w:rsidRDefault="0054159E">
      <w:pPr>
        <w:widowControl/>
        <w:spacing w:line="384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54159E" w:rsidRDefault="00256F37">
      <w:pPr>
        <w:widowControl/>
        <w:spacing w:line="384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申请书</w:t>
      </w:r>
    </w:p>
    <w:p w:rsidR="0054159E" w:rsidRDefault="0054159E">
      <w:pPr>
        <w:widowControl/>
        <w:spacing w:line="384" w:lineRule="auto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54159E" w:rsidRDefault="00256F37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分（支）局：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br/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　　一、本次申请业务的基本情况</w:t>
      </w:r>
    </w:p>
    <w:p w:rsidR="0054159E" w:rsidRDefault="00256F37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 w:rsidR="0054159E" w:rsidRDefault="00256F37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二、申请事项</w:t>
      </w:r>
    </w:p>
    <w:p w:rsidR="0054159E" w:rsidRDefault="00256F37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 w:rsidR="0054159E" w:rsidRDefault="00256F37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三、其他需说明的情况（如无，可不填写）</w:t>
      </w:r>
    </w:p>
    <w:p w:rsidR="0054159E" w:rsidRDefault="0054159E">
      <w:pPr>
        <w:widowControl/>
        <w:spacing w:line="384" w:lineRule="auto"/>
        <w:ind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  <w:highlight w:val="yellow"/>
        </w:rPr>
      </w:pPr>
    </w:p>
    <w:p w:rsidR="0054159E" w:rsidRDefault="0054159E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54159E" w:rsidRDefault="0054159E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54159E" w:rsidRDefault="00256F37">
      <w:pPr>
        <w:widowControl/>
        <w:spacing w:line="384" w:lineRule="auto"/>
        <w:ind w:firstLine="585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br/>
      </w:r>
    </w:p>
    <w:p w:rsidR="0054159E" w:rsidRDefault="00256F37">
      <w:pPr>
        <w:widowControl/>
        <w:spacing w:line="384" w:lineRule="auto"/>
        <w:ind w:right="6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单位（盖章）：</w:t>
      </w:r>
    </w:p>
    <w:p w:rsidR="0054159E" w:rsidRDefault="00256F37">
      <w:pPr>
        <w:ind w:right="6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             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54159E" w:rsidRDefault="0054159E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sectPr w:rsidR="0054159E" w:rsidSect="0054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47" w:rsidRDefault="002D7747" w:rsidP="0054159E">
      <w:r>
        <w:separator/>
      </w:r>
    </w:p>
  </w:endnote>
  <w:endnote w:type="continuationSeparator" w:id="1">
    <w:p w:rsidR="002D7747" w:rsidRDefault="002D7747" w:rsidP="0054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5444"/>
      <w:docPartObj>
        <w:docPartGallery w:val="AutoText"/>
      </w:docPartObj>
    </w:sdtPr>
    <w:sdtContent>
      <w:p w:rsidR="0054159E" w:rsidRDefault="00255396">
        <w:pPr>
          <w:pStyle w:val="a4"/>
          <w:jc w:val="center"/>
        </w:pPr>
        <w:r w:rsidRPr="00255396">
          <w:fldChar w:fldCharType="begin"/>
        </w:r>
        <w:r w:rsidR="00256F37">
          <w:instrText xml:space="preserve"> PAGE   \* MERGEFORMAT </w:instrText>
        </w:r>
        <w:r w:rsidRPr="00255396">
          <w:fldChar w:fldCharType="separate"/>
        </w:r>
        <w:r w:rsidR="004969B6" w:rsidRPr="004969B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4159E" w:rsidRDefault="005415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5445"/>
      <w:docPartObj>
        <w:docPartGallery w:val="AutoText"/>
      </w:docPartObj>
    </w:sdtPr>
    <w:sdtContent>
      <w:p w:rsidR="0054159E" w:rsidRDefault="00255396">
        <w:pPr>
          <w:pStyle w:val="a4"/>
          <w:jc w:val="center"/>
        </w:pPr>
        <w:r w:rsidRPr="00255396">
          <w:fldChar w:fldCharType="begin"/>
        </w:r>
        <w:r w:rsidR="00256F37">
          <w:instrText xml:space="preserve"> PAGE   \* MERGEFORMAT </w:instrText>
        </w:r>
        <w:r w:rsidRPr="00255396">
          <w:fldChar w:fldCharType="separate"/>
        </w:r>
        <w:r w:rsidR="004969B6" w:rsidRPr="004969B6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54159E" w:rsidRDefault="005415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47" w:rsidRDefault="002D7747" w:rsidP="0054159E">
      <w:r>
        <w:separator/>
      </w:r>
    </w:p>
  </w:footnote>
  <w:footnote w:type="continuationSeparator" w:id="1">
    <w:p w:rsidR="002D7747" w:rsidRDefault="002D7747" w:rsidP="00541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676B2"/>
    <w:rsid w:val="00073221"/>
    <w:rsid w:val="00076826"/>
    <w:rsid w:val="000843E0"/>
    <w:rsid w:val="000854FC"/>
    <w:rsid w:val="00087A9B"/>
    <w:rsid w:val="00087E73"/>
    <w:rsid w:val="0009503D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D6F20"/>
    <w:rsid w:val="001E6D6F"/>
    <w:rsid w:val="0023196A"/>
    <w:rsid w:val="00233898"/>
    <w:rsid w:val="00236980"/>
    <w:rsid w:val="00243FAD"/>
    <w:rsid w:val="00245151"/>
    <w:rsid w:val="00255396"/>
    <w:rsid w:val="00256F37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D7747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969B6"/>
    <w:rsid w:val="004A09E7"/>
    <w:rsid w:val="004A1143"/>
    <w:rsid w:val="004A2DF9"/>
    <w:rsid w:val="004A3554"/>
    <w:rsid w:val="004A7D6A"/>
    <w:rsid w:val="004B1782"/>
    <w:rsid w:val="004B3825"/>
    <w:rsid w:val="004B5513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413FD"/>
    <w:rsid w:val="0054159E"/>
    <w:rsid w:val="0054682F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5474E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E6DBC"/>
    <w:rsid w:val="007F5B2E"/>
    <w:rsid w:val="008037CD"/>
    <w:rsid w:val="00807846"/>
    <w:rsid w:val="00810F3A"/>
    <w:rsid w:val="00820E53"/>
    <w:rsid w:val="0082284E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26489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D5271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0994"/>
    <w:rsid w:val="00DA1926"/>
    <w:rsid w:val="00DA63A0"/>
    <w:rsid w:val="00DC4E37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27F3E"/>
    <w:rsid w:val="00E312D2"/>
    <w:rsid w:val="00E419F8"/>
    <w:rsid w:val="00E45B6E"/>
    <w:rsid w:val="00E51966"/>
    <w:rsid w:val="00E5653C"/>
    <w:rsid w:val="00E640E0"/>
    <w:rsid w:val="00E671EE"/>
    <w:rsid w:val="00E85FE2"/>
    <w:rsid w:val="00EA1738"/>
    <w:rsid w:val="00EA354F"/>
    <w:rsid w:val="00EB335E"/>
    <w:rsid w:val="00EC4864"/>
    <w:rsid w:val="00ED43D9"/>
    <w:rsid w:val="00ED7EFA"/>
    <w:rsid w:val="00EE1282"/>
    <w:rsid w:val="00EF22E8"/>
    <w:rsid w:val="00EF5EC4"/>
    <w:rsid w:val="00F120F6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8E5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  <o:rules v:ext="edit">
        <o:r id="V:Rule11" type="connector" idref="#_x0000_s1054"/>
        <o:r id="V:Rule12" type="connector" idref="#_x0000_s1056"/>
        <o:r id="V:Rule13" type="connector" idref="#_x0000_s1055"/>
        <o:r id="V:Rule14" type="connector" idref="#_x0000_s1060"/>
        <o:r id="V:Rule15" type="connector" idref="#_x0000_s1059"/>
        <o:r id="V:Rule16" type="connector" idref="#_x0000_s1057"/>
        <o:r id="V:Rule17" type="connector" idref="#_x0000_s1058"/>
        <o:r id="V:Rule18" type="connector" idref="#_x0000_s1063"/>
        <o:r id="V:Rule19" type="connector" idref="#_x0000_s1061"/>
        <o:r id="V:Rule2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41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41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159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5415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5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45"/>
    <customShpInfo spid="_x0000_s1054"/>
    <customShpInfo spid="_x0000_s1058"/>
    <customShpInfo spid="_x0000_s1047"/>
    <customShpInfo spid="_x0000_s1052"/>
    <customShpInfo spid="_x0000_s1053"/>
    <customShpInfo spid="_x0000_s1061"/>
    <customShpInfo spid="_x0000_s1059"/>
    <customShpInfo spid="_x0000_s1050"/>
    <customShpInfo spid="_x0000_s1056"/>
    <customShpInfo spid="_x0000_s1055"/>
    <customShpInfo spid="_x0000_s1046"/>
    <customShpInfo spid="_x0000_s1060"/>
    <customShpInfo spid="_x0000_s1051"/>
    <customShpInfo spid="_x0000_s1062"/>
    <customShpInfo spid="_x0000_s1063"/>
    <customShpInfo spid="_x0000_s1049"/>
    <customShpInfo spid="_x0000_s1057"/>
    <customShpInfo spid="_x0000_s1048"/>
  </customShpExts>
</s:customData>
</file>

<file path=customXml/itemProps1.xml><?xml version="1.0" encoding="utf-8"?>
<ds:datastoreItem xmlns:ds="http://schemas.openxmlformats.org/officeDocument/2006/customXml" ds:itemID="{B24FDA7C-0420-4C9E-A26B-ACF6BDA78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725</Words>
  <Characters>4133</Characters>
  <Application>Microsoft Office Word</Application>
  <DocSecurity>0</DocSecurity>
  <Lines>34</Lines>
  <Paragraphs>9</Paragraphs>
  <ScaleCrop>false</ScaleCrop>
  <Company>PBC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10</cp:revision>
  <cp:lastPrinted>2021-03-24T07:36:00Z</cp:lastPrinted>
  <dcterms:created xsi:type="dcterms:W3CDTF">2021-02-03T05:47:00Z</dcterms:created>
  <dcterms:modified xsi:type="dcterms:W3CDTF">2021-03-25T02:31:00Z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