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5F" w:rsidRDefault="00745E3F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57013</w:t>
      </w:r>
      <w:r w:rsidR="004630A8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="004630A8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5F" w:rsidRDefault="00633B5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33B5F" w:rsidRDefault="00745E3F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633B5F" w:rsidRDefault="00745E3F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745E3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E85D2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C734FB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C734FB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33B5F" w:rsidRDefault="00745E3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9B466B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9B466B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bookmarkStart w:id="0" w:name="_GoBack"/>
      <w:bookmarkEnd w:id="0"/>
      <w:r w:rsidR="009B466B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C734FB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633B5F" w:rsidRDefault="00745E3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E85D20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633B5F" w:rsidRDefault="00633B5F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633B5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3B5F" w:rsidRDefault="0063017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 xml:space="preserve">    </w:t>
      </w:r>
      <w:r w:rsidR="00745E3F"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633B5F" w:rsidRDefault="00745E3F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633B5F" w:rsidRDefault="00745E3F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57013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633B5F" w:rsidRDefault="00745E3F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四、银行合作办理远期结售汇业务市场准入审批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《国家外汇管理局关于合作办理远期结售汇业务有关问题的通知》（汇发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[2010]62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</w:t>
      </w:r>
      <w:r>
        <w:rPr>
          <w:rFonts w:ascii="Times New Roman" w:eastAsia="仿宋_GB2312" w:hAnsi="Times New Roman" w:cs="Times New Roman"/>
          <w:sz w:val="30"/>
          <w:szCs w:val="30"/>
        </w:rPr>
        <w:t>向所在地国家外汇管理局分局（外汇管理部）申请，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如处于市（地、州、区）、县，应向所在地国家外汇管理局中心支局或支局申请，并逐级上报至国家外汇管理局分局（外汇管理部）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申请人可为境内银行总行或其分支机构。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境内银行总行需同时符合以下条件：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）上年度外汇资产季平均余额在等值</w:t>
      </w:r>
      <w:r>
        <w:rPr>
          <w:rFonts w:ascii="Times New Roman" w:eastAsia="仿宋_GB2312" w:hAnsi="Times New Roman" w:cs="Times New Roman"/>
          <w:sz w:val="30"/>
          <w:szCs w:val="30"/>
        </w:rPr>
        <w:t>2000</w:t>
      </w:r>
      <w:r>
        <w:rPr>
          <w:rFonts w:ascii="Times New Roman" w:eastAsia="仿宋_GB2312" w:hAnsi="Times New Roman" w:cs="Times New Roman"/>
          <w:sz w:val="30"/>
          <w:szCs w:val="30"/>
        </w:rPr>
        <w:t>万美元（含）以上；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）具有完善的合作办理远期结售汇业务管理制度；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境内银行分支机构需同时符合以下条件：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）取得其总行（或总社）授权。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633B5F" w:rsidRDefault="00745E3F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633B5F" w:rsidRDefault="00745E3F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银行分支机构合作办理远期结售汇业务市场准入审批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633B5F">
        <w:tc>
          <w:tcPr>
            <w:tcW w:w="81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33B5F" w:rsidRDefault="00745E3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633B5F" w:rsidRDefault="00633B5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（七）申请接受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国家外汇管理局政务服务网上办理系统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不予许可的，出具不予许可通知书。许可的，向申请人出具备案通知书。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633B5F" w:rsidRDefault="00745E3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一般程序：申请、受理、审查、出具备案通知书。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633B5F" w:rsidRDefault="00745E3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633B5F" w:rsidRDefault="00745E3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备案通知书。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申请人有权依法提出行政审批申请，依法进行投诉、举报、复议、诉讼等。申请人有义务保证申请材料完整、真实、准确，获批后合法合规办理相关业务。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63017C" w:rsidRDefault="0063017C" w:rsidP="0063017C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E773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33B5F" w:rsidRDefault="0063017C" w:rsidP="00C734F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/>
          <w:sz w:val="30"/>
          <w:szCs w:val="30"/>
        </w:rPr>
        <w:t>8:30-12:00,14:00-17:00</w:t>
      </w:r>
      <w:r w:rsidR="00E773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电话、电子邮件、网址</w:t>
      </w:r>
    </w:p>
    <w:p w:rsidR="00633B5F" w:rsidRPr="00E85D20" w:rsidRDefault="009D009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E85D20">
        <w:rPr>
          <w:rFonts w:ascii="Times New Roman" w:eastAsia="黑体" w:hAnsi="Times New Roman" w:cs="Times New Roman" w:hint="eastAsia"/>
          <w:sz w:val="30"/>
          <w:szCs w:val="30"/>
        </w:rPr>
        <w:t>（十九）办理进程和结果公开查询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0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E36F89" w:rsidRPr="00E36F89" w:rsidRDefault="00E36F89" w:rsidP="00E36F89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/>
          <w:sz w:val="30"/>
          <w:szCs w:val="30"/>
        </w:rPr>
        <w:t>022-66239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417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33B5F" w:rsidRDefault="00745E3F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633B5F" w:rsidRPr="00E85D20" w:rsidRDefault="009D0098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E85D20">
        <w:rPr>
          <w:rFonts w:ascii="Times New Roman" w:eastAsia="黑体" w:hAnsi="Times New Roman" w:cs="Times New Roman" w:hint="eastAsia"/>
          <w:sz w:val="30"/>
          <w:szCs w:val="30"/>
        </w:rPr>
        <w:t>（二十）监督投诉渠道</w:t>
      </w:r>
    </w:p>
    <w:p w:rsidR="00E85D20" w:rsidRDefault="00E85D20" w:rsidP="00E85D20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向国家外汇管理局滨海新区中心支局进行咨询、进程查询、监督和投诉等可通过国家外汇管理局天津市分局官方互联网站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的相应栏目进行。网址可通过</w:t>
      </w:r>
      <w:hyperlink r:id="rId11" w:history="1">
        <w:r w:rsidRPr="00C734FB"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</w:rPr>
        <w:t>进行链接。</w:t>
      </w:r>
    </w:p>
    <w:p w:rsidR="00633B5F" w:rsidRDefault="00E85D20" w:rsidP="00E85D20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监督投诉电话：</w:t>
      </w:r>
      <w:r>
        <w:rPr>
          <w:rFonts w:ascii="Times New Roman" w:eastAsia="仿宋_GB2312" w:hAnsi="Times New Roman" w:cs="Times New Roman"/>
          <w:sz w:val="30"/>
          <w:szCs w:val="30"/>
        </w:rPr>
        <w:t>022—66239192</w:t>
      </w:r>
      <w:r w:rsidR="00E77337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无固定格式，但需要根据总行、分支机构提供不同的材料，有关内容要求详见（六）申请材料。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633B5F" w:rsidRDefault="00745E3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合作办理远期结售汇业务相关管理制度包含内容不全等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33B5F" w:rsidRDefault="00633B5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33B5F" w:rsidRDefault="00633B5F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633B5F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3B5F" w:rsidRDefault="00745E3F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E85D20" w:rsidRDefault="00E85D20" w:rsidP="00E85D2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E85D20" w:rsidRDefault="00E85D20" w:rsidP="00E85D2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85D20" w:rsidRDefault="00233B49" w:rsidP="00E85D2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552" style="position:absolute;left:0;text-align:left;margin-left:-1.45pt;margin-top:.15pt;width:148.4pt;height:68.9pt;z-index:251676672">
            <v:textbox>
              <w:txbxContent>
                <w:p w:rsidR="00E85D20" w:rsidRDefault="00E85D20" w:rsidP="00E85D20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 w:rsidR="00E85D20" w:rsidRDefault="00E85D20" w:rsidP="00E85D20"/>
              </w:txbxContent>
            </v:textbox>
          </v:rect>
        </w:pict>
      </w:r>
    </w:p>
    <w:p w:rsidR="00E85D20" w:rsidRDefault="00233B49" w:rsidP="00E85D2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547" style="position:absolute;left:0;text-align:left;margin-left:273.6pt;margin-top:26.7pt;width:104.7pt;height:39.8pt;z-index:251671552">
            <v:textbox>
              <w:txbxContent>
                <w:p w:rsidR="00E85D20" w:rsidRDefault="00E85D20" w:rsidP="00E85D20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E85D20" w:rsidRDefault="00E85D20" w:rsidP="00E85D20"/>
              </w:txbxContent>
            </v:textbox>
          </v:rect>
        </w:pict>
      </w:r>
    </w:p>
    <w:p w:rsidR="00E85D20" w:rsidRDefault="00233B49" w:rsidP="00EE1DC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  <w:sectPr w:rsidR="00E85D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0" type="#_x0000_t32" style="position:absolute;left:0;text-align:left;margin-left:41.45pt;margin-top:21.05pt;width:232.15pt;height:.05pt;flip:x;z-index:25166438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36" type="#_x0000_t32" style="position:absolute;left:0;text-align:left;margin-left:40.6pt;margin-top:6.65pt;width:.85pt;height:73.4pt;z-index:25166028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45" type="#_x0000_t32" style="position:absolute;left:0;text-align:left;margin-left:40.6pt;margin-top:182.85pt;width:41.1pt;height:0;z-index:25166950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44" type="#_x0000_t32" style="position:absolute;left:0;text-align:left;margin-left:40.6pt;margin-top:113.3pt;width:0;height:69.55pt;z-index:251668480" o:connectortype="straight"/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38" type="#_x0000_t32" style="position:absolute;left:0;text-align:left;margin-left:93.35pt;margin-top:101.65pt;width:58.6pt;height:0;z-index:25166233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42" type="#_x0000_t32" style="position:absolute;left:0;text-align:left;margin-left:237.35pt;margin-top:253.15pt;width:.85pt;height:45.25pt;z-index:251666432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43" type="#_x0000_t32" style="position:absolute;left:0;text-align:left;margin-left:131.6pt;margin-top:253.15pt;width:.05pt;height:45.25pt;z-index:25166745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541" type="#_x0000_t32" style="position:absolute;left:0;text-align:left;margin-left:179.6pt;margin-top:204.6pt;width:0;height:21.85pt;z-index:251665408" o:connectortype="straight">
            <v:stroke endarrow="block"/>
          </v:shape>
        </w:pict>
      </w:r>
    </w:p>
    <w:p w:rsidR="00E85D20" w:rsidRDefault="00233B49" w:rsidP="00E85D20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E85D20">
          <w:footerReference w:type="default" r:id="rId13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33B49">
        <w:rPr>
          <w:rFonts w:ascii="Times New Roman" w:eastAsia="仿宋_GB2312" w:hAnsi="Times New Roman" w:cs="Times New Roman"/>
          <w:sz w:val="30"/>
          <w:szCs w:val="30"/>
        </w:rPr>
        <w:lastRenderedPageBreak/>
        <w:pict>
          <v:shape id="_x0000_s1537" type="#_x0000_t32" style="position:absolute;left:0;text-align:left;margin-left:89.25pt;margin-top:61.45pt;width:62.7pt;height:.05pt;z-index:251661312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54" style="position:absolute;left:0;text-align:left;margin-left:199.5pt;margin-top:298.4pt;width:87.35pt;height:58.6pt;z-index:251678720">
            <v:textbox>
              <w:txbxContent>
                <w:p w:rsidR="00E85D20" w:rsidRDefault="00E85D20" w:rsidP="00E85D20">
                  <w:r>
                    <w:rPr>
                      <w:rFonts w:hint="eastAsia"/>
                    </w:rPr>
                    <w:t>依法作出不予许可决定，并送达</w:t>
                  </w:r>
                </w:p>
                <w:p w:rsidR="00E85D20" w:rsidRDefault="00E85D20" w:rsidP="00E85D20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53" style="position:absolute;left:0;text-align:left;margin-left:81.65pt;margin-top:298.4pt;width:87.35pt;height:58.6pt;z-index:251677696">
            <v:textbox>
              <w:txbxContent>
                <w:p w:rsidR="00E85D20" w:rsidRDefault="00E85D20" w:rsidP="00E85D20"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 w:rsidR="00E85D20" w:rsidRDefault="00E85D20" w:rsidP="00E85D20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51" style="position:absolute;left:0;text-align:left;margin-left:81.7pt;margin-top:226.45pt;width:212.6pt;height:26.7pt;z-index:251675648">
            <v:textbox>
              <w:txbxContent>
                <w:p w:rsidR="00E85D20" w:rsidRDefault="00E85D20" w:rsidP="00E85D20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E85D20" w:rsidRDefault="00E85D20" w:rsidP="00E85D20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50" style="position:absolute;left:0;text-align:left;margin-left:81.65pt;margin-top:174.45pt;width:205.2pt;height:30.15pt;z-index:251674624">
            <v:textbox>
              <w:txbxContent>
                <w:p w:rsidR="00E85D20" w:rsidRDefault="00E85D20" w:rsidP="00E85D20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E85D20" w:rsidRDefault="00E85D20" w:rsidP="00E85D20"/>
              </w:txbxContent>
            </v:textbox>
          </v:rect>
        </w:pict>
      </w:r>
      <w:r w:rsidRPr="00233B49">
        <w:rPr>
          <w:rFonts w:ascii="Times New Roman" w:eastAsia="仿宋_GB2312" w:hAnsi="Times New Roman" w:cs="Times New Roman"/>
          <w:sz w:val="30"/>
          <w:szCs w:val="30"/>
        </w:rPr>
        <w:pict>
          <v:shape id="_x0000_s1539" type="#_x0000_t32" style="position:absolute;left:0;text-align:left;margin-left:319.55pt;margin-top:4.1pt;width:.05pt;height:44.75pt;flip:y;z-index:251663360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49" style="position:absolute;left:0;text-align:left;margin-left:151.95pt;margin-top:91.45pt;width:268.1pt;height:45.3pt;z-index:251673600">
            <v:textbox>
              <w:txbxContent>
                <w:p w:rsidR="00E85D20" w:rsidRDefault="00E85D20" w:rsidP="00E85D20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 w:rsidR="00E85D20" w:rsidRDefault="00E85D20" w:rsidP="00E85D20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548" style="position:absolute;left:0;text-align:left;margin-left:151.95pt;margin-top:48.85pt;width:268.1pt;height:25pt;z-index:251672576">
            <v:textbox>
              <w:txbxContent>
                <w:p w:rsidR="00E85D20" w:rsidRDefault="00E85D20" w:rsidP="00E85D20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E85D20" w:rsidRDefault="00E85D20" w:rsidP="00E85D20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546" type="#_x0000_t110" style="position:absolute;left:0;text-align:left;margin-left:-39.65pt;margin-top:35.35pt;width:163.7pt;height:94.45pt;z-index:251670528">
            <v:textbox>
              <w:txbxContent>
                <w:p w:rsidR="00E85D20" w:rsidRDefault="00E85D20" w:rsidP="00E85D20">
                  <w:r>
                    <w:rPr>
                      <w:rFonts w:hint="eastAsia"/>
                    </w:rPr>
                    <w:t>接件并当场（或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个工作日）作出是否受理决定</w:t>
                  </w:r>
                </w:p>
                <w:p w:rsidR="00E85D20" w:rsidRDefault="00E85D20" w:rsidP="00E85D20"/>
              </w:txbxContent>
            </v:textbox>
          </v:shape>
        </w:pict>
      </w:r>
    </w:p>
    <w:p w:rsidR="00633B5F" w:rsidRDefault="00633B5F" w:rsidP="00EE1DC3">
      <w:pPr>
        <w:ind w:right="300"/>
        <w:rPr>
          <w:rFonts w:ascii="Times New Roman" w:hAnsi="Times New Roman" w:cs="Times New Roman"/>
        </w:rPr>
      </w:pPr>
    </w:p>
    <w:sectPr w:rsidR="00633B5F" w:rsidSect="00633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B8" w:rsidRDefault="00D63EB8" w:rsidP="00633B5F">
      <w:r>
        <w:separator/>
      </w:r>
    </w:p>
  </w:endnote>
  <w:endnote w:type="continuationSeparator" w:id="1">
    <w:p w:rsidR="00D63EB8" w:rsidRDefault="00D63EB8" w:rsidP="0063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8"/>
      <w:docPartObj>
        <w:docPartGallery w:val="AutoText"/>
      </w:docPartObj>
    </w:sdtPr>
    <w:sdtContent>
      <w:p w:rsidR="00633B5F" w:rsidRDefault="00233B49">
        <w:pPr>
          <w:pStyle w:val="a7"/>
          <w:jc w:val="center"/>
        </w:pPr>
        <w:r w:rsidRPr="00233B49">
          <w:fldChar w:fldCharType="begin"/>
        </w:r>
        <w:r w:rsidR="00745E3F">
          <w:instrText xml:space="preserve"> PAGE   \* MERGEFORMAT </w:instrText>
        </w:r>
        <w:r w:rsidRPr="00233B49">
          <w:fldChar w:fldCharType="separate"/>
        </w:r>
        <w:r w:rsidR="00E36F89" w:rsidRPr="00E36F8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33B5F" w:rsidRDefault="00633B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60"/>
      <w:docPartObj>
        <w:docPartGallery w:val="AutoText"/>
      </w:docPartObj>
    </w:sdtPr>
    <w:sdtContent>
      <w:p w:rsidR="00633B5F" w:rsidRDefault="00233B49">
        <w:pPr>
          <w:pStyle w:val="a7"/>
          <w:jc w:val="center"/>
        </w:pPr>
        <w:r w:rsidRPr="00233B49">
          <w:fldChar w:fldCharType="begin"/>
        </w:r>
        <w:r w:rsidR="00745E3F">
          <w:instrText xml:space="preserve"> PAGE   \* MERGEFORMAT </w:instrText>
        </w:r>
        <w:r w:rsidRPr="00233B49">
          <w:fldChar w:fldCharType="separate"/>
        </w:r>
        <w:r w:rsidR="00EE1DC3" w:rsidRPr="00EE1DC3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633B5F" w:rsidRDefault="00633B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73"/>
    </w:sdtPr>
    <w:sdtContent>
      <w:p w:rsidR="00E85D20" w:rsidRDefault="00233B49">
        <w:pPr>
          <w:pStyle w:val="a7"/>
          <w:jc w:val="center"/>
        </w:pPr>
        <w:r w:rsidRPr="00233B49">
          <w:fldChar w:fldCharType="begin"/>
        </w:r>
        <w:r w:rsidR="00E85D20">
          <w:instrText xml:space="preserve"> PAGE   \* MERGEFORMAT </w:instrText>
        </w:r>
        <w:r w:rsidRPr="00233B49">
          <w:fldChar w:fldCharType="separate"/>
        </w:r>
        <w:r w:rsidR="00E85D20">
          <w:rPr>
            <w:lang w:val="zh-CN"/>
          </w:rPr>
          <w:t>191</w:t>
        </w:r>
        <w:r>
          <w:rPr>
            <w:lang w:val="zh-CN"/>
          </w:rPr>
          <w:fldChar w:fldCharType="end"/>
        </w:r>
      </w:p>
    </w:sdtContent>
  </w:sdt>
  <w:p w:rsidR="00E85D20" w:rsidRDefault="00E85D2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F" w:rsidRDefault="00233B49">
    <w:pPr>
      <w:pStyle w:val="a7"/>
      <w:jc w:val="center"/>
    </w:pPr>
    <w:r>
      <w:fldChar w:fldCharType="begin"/>
    </w:r>
    <w:r w:rsidR="00745E3F">
      <w:instrText>PAGE   \* MERGEFORMAT</w:instrText>
    </w:r>
    <w:r>
      <w:fldChar w:fldCharType="separate"/>
    </w:r>
    <w:r w:rsidR="00EE1DC3" w:rsidRPr="00EE1DC3">
      <w:rPr>
        <w:noProof/>
        <w:lang w:val="zh-CN"/>
      </w:rPr>
      <w:t>9</w:t>
    </w:r>
    <w:r>
      <w:fldChar w:fldCharType="end"/>
    </w:r>
  </w:p>
  <w:p w:rsidR="00633B5F" w:rsidRDefault="00633B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B8" w:rsidRDefault="00D63EB8" w:rsidP="00633B5F">
      <w:r>
        <w:separator/>
      </w:r>
    </w:p>
  </w:footnote>
  <w:footnote w:type="continuationSeparator" w:id="1">
    <w:p w:rsidR="00D63EB8" w:rsidRDefault="00D63EB8" w:rsidP="00633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306F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62E7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22F8C"/>
    <w:rsid w:val="00231EED"/>
    <w:rsid w:val="002328EF"/>
    <w:rsid w:val="00233841"/>
    <w:rsid w:val="00233B49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30A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17C"/>
    <w:rsid w:val="00630AA8"/>
    <w:rsid w:val="00630B2E"/>
    <w:rsid w:val="00632EDB"/>
    <w:rsid w:val="00633B5F"/>
    <w:rsid w:val="00643D2A"/>
    <w:rsid w:val="006476F4"/>
    <w:rsid w:val="00664458"/>
    <w:rsid w:val="00664E11"/>
    <w:rsid w:val="00673B30"/>
    <w:rsid w:val="00696E5D"/>
    <w:rsid w:val="006B5B86"/>
    <w:rsid w:val="006C5908"/>
    <w:rsid w:val="006C633E"/>
    <w:rsid w:val="006D4EE9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5E3F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48C7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C318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5332"/>
    <w:rsid w:val="009664BC"/>
    <w:rsid w:val="009717A5"/>
    <w:rsid w:val="00980F02"/>
    <w:rsid w:val="00991B77"/>
    <w:rsid w:val="00997523"/>
    <w:rsid w:val="009A0C5D"/>
    <w:rsid w:val="009B466B"/>
    <w:rsid w:val="009B4F82"/>
    <w:rsid w:val="009C4672"/>
    <w:rsid w:val="009C491B"/>
    <w:rsid w:val="009D0098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73F04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37537"/>
    <w:rsid w:val="00C54291"/>
    <w:rsid w:val="00C672C3"/>
    <w:rsid w:val="00C712B2"/>
    <w:rsid w:val="00C734FB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3EB8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0F9E"/>
    <w:rsid w:val="00E3239D"/>
    <w:rsid w:val="00E3254B"/>
    <w:rsid w:val="00E3439B"/>
    <w:rsid w:val="00E36F89"/>
    <w:rsid w:val="00E42C5F"/>
    <w:rsid w:val="00E65A1B"/>
    <w:rsid w:val="00E72F1F"/>
    <w:rsid w:val="00E77337"/>
    <w:rsid w:val="00E841A2"/>
    <w:rsid w:val="00E85D20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1DC3"/>
    <w:rsid w:val="00EE6970"/>
    <w:rsid w:val="00EF38D0"/>
    <w:rsid w:val="00EF3DDF"/>
    <w:rsid w:val="00EF4A8C"/>
    <w:rsid w:val="00F12408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A75EA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  <o:rules v:ext="edit">
        <o:r id="V:Rule11" type="connector" idref="#_x0000_s1536"/>
        <o:r id="V:Rule12" type="connector" idref="#_x0000_s1537"/>
        <o:r id="V:Rule13" type="connector" idref="#_x0000_s1538"/>
        <o:r id="V:Rule14" type="connector" idref="#_x0000_s1541"/>
        <o:r id="V:Rule15" type="connector" idref="#_x0000_s1542"/>
        <o:r id="V:Rule16" type="connector" idref="#_x0000_s1539"/>
        <o:r id="V:Rule17" type="connector" idref="#_x0000_s1543"/>
        <o:r id="V:Rule18" type="connector" idref="#_x0000_s1544"/>
        <o:r id="V:Rule19" type="connector" idref="#_x0000_s1540"/>
        <o:r id="V:Rule20" type="connector" idref="#_x0000_s15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3B5F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633B5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33B5F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633B5F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633B5F"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link w:val="Char1"/>
    <w:uiPriority w:val="1"/>
    <w:qFormat/>
    <w:rsid w:val="00633B5F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sid w:val="00633B5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633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633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633B5F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3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633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633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33B5F"/>
    <w:rPr>
      <w:rFonts w:ascii="ˎ̥" w:hAnsi="ˎ̥" w:hint="default"/>
      <w:color w:val="0453CC"/>
      <w:sz w:val="20"/>
      <w:szCs w:val="20"/>
      <w:u w:val="none"/>
    </w:rPr>
  </w:style>
  <w:style w:type="character" w:styleId="ad">
    <w:name w:val="annotation reference"/>
    <w:basedOn w:val="a0"/>
    <w:semiHidden/>
    <w:unhideWhenUsed/>
    <w:qFormat/>
    <w:rsid w:val="00633B5F"/>
    <w:rPr>
      <w:sz w:val="21"/>
      <w:szCs w:val="21"/>
    </w:rPr>
  </w:style>
  <w:style w:type="character" w:styleId="ae">
    <w:name w:val="footnote reference"/>
    <w:unhideWhenUsed/>
    <w:qFormat/>
    <w:rsid w:val="00633B5F"/>
    <w:rPr>
      <w:rFonts w:ascii="Times New Roman" w:hAnsi="Times New Roman" w:cs="Times New Roman"/>
      <w:vertAlign w:val="superscript"/>
    </w:rPr>
  </w:style>
  <w:style w:type="character" w:customStyle="1" w:styleId="Char4">
    <w:name w:val="页眉 Char"/>
    <w:basedOn w:val="a0"/>
    <w:link w:val="a8"/>
    <w:uiPriority w:val="99"/>
    <w:rsid w:val="00633B5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633B5F"/>
    <w:rPr>
      <w:sz w:val="18"/>
      <w:szCs w:val="18"/>
    </w:rPr>
  </w:style>
  <w:style w:type="paragraph" w:styleId="af">
    <w:name w:val="List Paragraph"/>
    <w:basedOn w:val="a"/>
    <w:uiPriority w:val="34"/>
    <w:qFormat/>
    <w:rsid w:val="00633B5F"/>
    <w:pPr>
      <w:ind w:firstLineChars="200" w:firstLine="420"/>
    </w:pPr>
  </w:style>
  <w:style w:type="character" w:customStyle="1" w:styleId="Char2">
    <w:name w:val="批注框文本 Char"/>
    <w:basedOn w:val="a0"/>
    <w:link w:val="a6"/>
    <w:semiHidden/>
    <w:rsid w:val="00633B5F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633B5F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633B5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633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633B5F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633B5F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633B5F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633B5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33B5F"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qFormat/>
    <w:rsid w:val="00633B5F"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sid w:val="00633B5F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633B5F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633B5F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633B5F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633B5F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633B5F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633B5F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633B5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633B5F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633B5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633B5F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qFormat/>
    <w:rsid w:val="00633B5F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517"/>
    <customShpInfo spid="_x0000_s1518"/>
    <customShpInfo spid="_x0000_s1519"/>
    <customShpInfo spid="_x0000_s1520"/>
    <customShpInfo spid="_x0000_s1521"/>
    <customShpInfo spid="_x0000_s1522"/>
    <customShpInfo spid="_x0000_s1523"/>
    <customShpInfo spid="_x0000_s1524"/>
    <customShpInfo spid="_x0000_s1525"/>
    <customShpInfo spid="_x0000_s1526"/>
    <customShpInfo spid="_x0000_s1527"/>
    <customShpInfo spid="_x0000_s1528"/>
    <customShpInfo spid="_x0000_s1529"/>
    <customShpInfo spid="_x0000_s1530"/>
    <customShpInfo spid="_x0000_s1531"/>
    <customShpInfo spid="_x0000_s1532"/>
    <customShpInfo spid="_x0000_s1533"/>
    <customShpInfo spid="_x0000_s1534"/>
    <customShpInfo spid="_x0000_s1516"/>
    <customShpInfo spid="_x0000_s1515"/>
    <customShpInfo spid="_x0000_s1514"/>
    <customShpInfo spid="_x0000_s1512"/>
  </customShpExts>
</s:customData>
</file>

<file path=customXml/itemProps1.xml><?xml version="1.0" encoding="utf-8"?>
<ds:datastoreItem xmlns:ds="http://schemas.openxmlformats.org/officeDocument/2006/customXml" ds:itemID="{4AABBD3E-97F3-46A0-ACE2-A7D1511FC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391</Words>
  <Characters>2234</Characters>
  <Application>Microsoft Office Word</Application>
  <DocSecurity>0</DocSecurity>
  <Lines>18</Lines>
  <Paragraphs>5</Paragraphs>
  <ScaleCrop>false</ScaleCrop>
  <Company>PBC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16</cp:revision>
  <cp:lastPrinted>2021-03-24T08:26:00Z</cp:lastPrinted>
  <dcterms:created xsi:type="dcterms:W3CDTF">2021-02-25T04:07:00Z</dcterms:created>
  <dcterms:modified xsi:type="dcterms:W3CDTF">2021-03-29T01:06:00Z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