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w:t>
      </w:r>
    </w:p>
    <w:p>
      <w:pPr>
        <w:pStyle w:val="20"/>
        <w:adjustRightInd w:val="0"/>
        <w:snapToGrid w:val="0"/>
        <w:spacing w:line="360" w:lineRule="auto"/>
        <w:ind w:firstLine="0" w:firstLineChars="0"/>
        <w:outlineLvl w:val="0"/>
        <w:rPr>
          <w:rFonts w:ascii="Times New Roman" w:hAnsi="Times New Roman" w:eastAsia="黑体"/>
          <w:sz w:val="30"/>
          <w:szCs w:val="30"/>
        </w:rPr>
      </w:pPr>
      <w:r>
        <w:rPr>
          <w:rFonts w:hint="eastAsia" w:ascii="Times New Roman" w:hAnsi="Times New Roman" w:eastAsia="黑体"/>
          <w:sz w:val="30"/>
          <w:szCs w:val="30"/>
          <w:lang w:val="en-US" w:eastAsia="zh-CN"/>
        </w:rPr>
        <w:t xml:space="preserve">   </w:t>
      </w:r>
      <w:r>
        <w:rPr>
          <w:rFonts w:ascii="Times New Roman" w:hAnsi="Times New Roman" w:eastAsia="黑体"/>
          <w:sz w:val="30"/>
          <w:szCs w:val="30"/>
        </w:rPr>
        <w:t xml:space="preserve"> 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w:t>
      </w:r>
      <w:r>
        <w:rPr>
          <w:rFonts w:hint="eastAsia" w:ascii="Times New Roman" w:hAnsi="Times New Roman" w:eastAsia="仿宋_GB2312"/>
          <w:sz w:val="30"/>
          <w:szCs w:val="30"/>
        </w:rPr>
        <w:t>、</w:t>
      </w:r>
      <w:r>
        <w:rPr>
          <w:rFonts w:ascii="Times New Roman" w:hAnsi="Times New Roman" w:eastAsia="仿宋_GB2312" w:cs="Times New Roman"/>
          <w:sz w:val="30"/>
          <w:szCs w:val="30"/>
        </w:rPr>
        <w:t>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四、境内机构短期外债余额指标核准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2.《境内机构借用国际商业贷款管理办法》（〔97〕汇政发字06号）。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3.《境内外资银行外债管理办法》（国家发展和改革委员会 中国人民银行 中国银行业监督管理委员会令2004年第9号）。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4.《国家外汇管理局关于发布〈外债登记管理办法〉的通知》（汇发〔2013〕19号）。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.其他相关法规。</w:t>
      </w:r>
    </w:p>
    <w:p>
      <w:pPr>
        <w:numPr>
          <w:ilvl w:val="0"/>
          <w:numId w:val="3"/>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申请人所在地国家外汇管理局分局（外汇管理部）。</w:t>
      </w:r>
    </w:p>
    <w:p>
      <w:pPr>
        <w:numPr>
          <w:ilvl w:val="0"/>
          <w:numId w:val="4"/>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 xml:space="preserve">国家外汇管理局或申请人所在地国家外汇管理局分局（外汇管理部）。 </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numPr>
          <w:ilvl w:val="0"/>
          <w:numId w:val="5"/>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1.金融机构需同时符合以下条件：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（1）短期外债使用无不良记录。</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（2）外汇局根据中、外资银行对外汇资金的实际合理需求，根据公平原则，参考上年度指标使用情况、同规模银行一般水平和当年度短期外债余额调控目标等因素为银行核定短期外债指标。</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2.非金融企业需同时符合以下条件：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（1）属于国家鼓励行业，具有对外贸易经营权。</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（2）过去三年内连续盈利，或经营趋势良好。</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（3）具有完善的财务管理制度和内控制度。</w:t>
      </w:r>
    </w:p>
    <w:p>
      <w:pPr>
        <w:adjustRightInd w:val="0"/>
        <w:snapToGrid w:val="0"/>
        <w:spacing w:line="360" w:lineRule="auto"/>
        <w:ind w:firstLine="600"/>
        <w:rPr>
          <w:rFonts w:ascii="Times New Roman" w:hAnsi="Times New Roman" w:eastAsia="仿宋_GB2312" w:cs="Times New Roman"/>
          <w:b/>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1.金融机构短期外债余额指标申请材料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4254"/>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上年度资产负债表和损益表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流动性需要或资金用途有关的证明材料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境外总行或地区管理部门批准的对中国境内债务人的年度授信限额文件（外资金融机构的境内非法人分支机构提供）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境外总行授权文件（“短期外债管理行”提供）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numPr>
          <w:ilvl w:val="0"/>
          <w:numId w:val="6"/>
        </w:numPr>
        <w:ind w:right="300"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非金融企业短期外债余额指标申请材料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474"/>
        <w:gridCol w:w="952"/>
        <w:gridCol w:w="457"/>
        <w:gridCol w:w="845"/>
        <w:gridCol w:w="490"/>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47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9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7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上年度资产负债表和损益表</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上年度外汇收支情况。</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信贷机构出具的承诺贷款的意向书</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spacing w:line="360" w:lineRule="auto"/>
        <w:ind w:firstLine="600" w:firstLineChars="200"/>
        <w:outlineLvl w:val="0"/>
        <w:rPr>
          <w:rFonts w:ascii="Times New Roman" w:hAnsi="Times New Roman" w:eastAsia="黑体" w:cs="Times New Roman"/>
          <w:sz w:val="30"/>
          <w:szCs w:val="30"/>
        </w:rPr>
      </w:pPr>
    </w:p>
    <w:p>
      <w:pPr>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申请人可通过所在地外汇局分局（外汇管理部）业务窗口提交材料。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rPr>
          <w:rFonts w:hint="eastAsia" w:ascii="Times New Roman" w:hAnsi="Times New Roman" w:eastAsia="黑体" w:cs="Times New Roman"/>
          <w:sz w:val="30"/>
          <w:szCs w:val="30"/>
          <w:lang w:val="en-US" w:eastAsia="zh-CN"/>
        </w:rPr>
      </w:pPr>
      <w:r>
        <w:rPr>
          <w:rFonts w:hint="eastAsia" w:ascii="黑体" w:hAnsi="黑体" w:eastAsia="黑体" w:cs="黑体"/>
          <w:b w:val="0"/>
          <w:bCs w:val="0"/>
          <w:sz w:val="30"/>
          <w:szCs w:val="30"/>
          <w:lang w:eastAsia="zh-CN"/>
        </w:rPr>
        <w:t>（十五）</w:t>
      </w:r>
      <w:r>
        <w:rPr>
          <w:rFonts w:hint="eastAsia" w:ascii="Times New Roman" w:hAnsi="Times New Roman" w:eastAsia="黑体" w:cs="Times New Roman"/>
          <w:sz w:val="30"/>
          <w:szCs w:val="30"/>
          <w:lang w:eastAsia="zh-CN"/>
        </w:rPr>
        <w:t>办公场所、</w:t>
      </w:r>
      <w:r>
        <w:rPr>
          <w:rFonts w:hint="eastAsia" w:ascii="Times New Roman" w:hAnsi="Times New Roman" w:eastAsia="黑体" w:cs="Times New Roman"/>
          <w:sz w:val="30"/>
          <w:szCs w:val="30"/>
        </w:rPr>
        <w:t>咨询途径、监督和投诉</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窗口：国家外汇管理局山西省分局业务管理科</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办公地址：山西省太原市迎泽大街135号（中国人民银行山西省分行办公楼2208室）</w:t>
      </w:r>
      <w:bookmarkStart w:id="0" w:name="_GoBack"/>
      <w:bookmarkEnd w:id="0"/>
    </w:p>
    <w:p>
      <w:pPr>
        <w:widowControl w:val="0"/>
        <w:numPr>
          <w:ilvl w:val="0"/>
          <w:numId w:val="7"/>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电话：0351-4922865;0351-4922821；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3.办公时间：周一至周五，除节假日外，上午：8：30-12：00  下午：14：30-17：30。</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信件邮寄地址：国家外汇管理局山西省分局业务管理科，邮政编码030001。</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仿宋_GB2312" w:hAnsi="仿宋_GB2312" w:eastAsia="仿宋_GB2312" w:cs="仿宋_GB2312"/>
          <w:sz w:val="30"/>
          <w:szCs w:val="30"/>
          <w:lang w:val="en-US" w:eastAsia="zh-CN"/>
        </w:rPr>
        <w:t>5. 网址：国家外汇管理局山西省分局官方互联网站（网址可通过</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"http://www.safe.gov.cn"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www.safe.gov.cn</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进行链接查找）。</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left="567" w:right="300" w:hanging="567" w:hangingChars="189"/>
        <w:jc w:val="center"/>
        <w:rPr>
          <w:rFonts w:hint="eastAsia" w:ascii="Times New Roman" w:hAnsi="Times New Roman" w:eastAsia="黑体" w:cs="Times New Roman"/>
          <w:sz w:val="30"/>
          <w:szCs w:val="30"/>
        </w:rPr>
      </w:pPr>
      <w:r>
        <w:rPr>
          <w:rFonts w:ascii="Times New Roman" w:hAnsi="Times New Roman" w:eastAsia="黑体" w:cs="Times New Roman"/>
          <w:sz w:val="30"/>
          <w:szCs w:val="30"/>
        </w:rPr>
        <w:t>基本流程图</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2" o:spid="_x0000_s1027" style="position:absolute;left:0;margin-left:-37.1pt;margin-top:5.6pt;height:665.15pt;width:491.25pt;rotation:0f;z-index:251658240;" coordorigin="1599,1560" coordsize="9010,13628">
            <o:lock v:ext="edit" position="f" selection="f" grouping="f" rotation="f" cropping="f" text="f" aspectratio="f"/>
            <v:shape id="AutoShape 3" o:spid="_x0000_s1028" type="#_x0000_t32" style="position:absolute;left:6566;top:10994;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4" o:spid="_x0000_s1029" style="position:absolute;left:1599;top:1560;height:13628;width:9010;rotation:0f;" coordorigin="1599,1560" coordsize="9010,13628">
              <o:lock v:ext="edit" position="f" selection="f" grouping="f" rotation="f" cropping="f" text="f" aspectratio="f"/>
              <v:shape id="AutoShape 5" o:spid="_x0000_s1030" type="#_x0000_t32" style="position:absolute;left:6565;top:11899;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 o:spid="_x0000_s1031" style="position:absolute;left:1599;top:1560;height:13628;width:9010;rotation:0f;" coordorigin="1599,1560" coordsize="9010,13628">
                <o:lock v:ext="edit" position="f" selection="f" grouping="f" rotation="f" cropping="f" text="f" aspectratio="f"/>
                <v:rect id="Rectangle 7" o:spid="_x0000_s1032" style="position:absolute;left:5057;top:11620;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shape id="AutoShape 8" o:spid="_x0000_s1033" type="#_x0000_t32" style="position:absolute;left:3999;top:12614;height:56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034" type="#_x0000_t32" style="position:absolute;left:9017;top:12614;height:607;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5" type="#_x0000_t32" style="position:absolute;left:4013;top:12614;height:0;width:4987;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 o:spid="_x0000_s1036" type="#_x0000_t116" style="position:absolute;left:7492;top:13201;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p>
                        <w:pPr>
                          <w:jc w:val="center"/>
                        </w:pPr>
                      </w:p>
                    </w:txbxContent>
                  </v:textbox>
                </v:shape>
                <v:shape id="AutoShape 12" o:spid="_x0000_s1037" type="#_x0000_t116" style="position:absolute;left:2034;top:14510;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rect id="Rectangle 13" o:spid="_x0000_s1038" style="position:absolute;left:2294;top:13181;height:859;width:3461;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039" type="#_x0000_t32" style="position:absolute;left:4013;top:14040;height:470;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5" o:spid="_x0000_s1040" style="position:absolute;left:1599;top:1560;height:11621;width:8921;rotation:0f;" coordorigin="1635,1526" coordsize="8921,11621">
                  <o:lock v:ext="edit" position="f" selection="f" grouping="f" rotation="f" cropping="f" text="f" aspectratio="f"/>
                  <v:shape id="AutoShape 16" o:spid="_x0000_s1041" type="#_x0000_t32" style="position:absolute;left:6600;top:8677;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7" o:spid="_x0000_s1042"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Group 18" o:spid="_x0000_s1043" style="position:absolute;left:1635;top:2321;height:6356;width:8921;rotation:0f;" coordorigin="1635,2361" coordsize="8921,6356">
                    <o:lock v:ext="edit" position="f" selection="f" grouping="f" rotation="f" cropping="f" text="f" aspectratio="f"/>
                    <v:shape id="AutoShape 19" o:spid="_x0000_s1044" type="#_x0000_t34" style="position:absolute;left:8014;top:4167;height:1285;width:3790;rotation:17694720f;" o:ole="f" o:connectortype="elbow" fillcolor="#FFFFFF" filled="f" o:preferrelative="t" stroked="t" coordorigin="0,0" coordsize="21600,21600" adj="45">
                      <v:fill on="f" color2="#FFFFFF" focus="0%"/>
                      <v:stroke color="#000000" color2="#FFFFFF" miterlimit="2"/>
                      <v:imagedata gain="65536f" blacklevel="0f" gamma="0"/>
                      <o:lock v:ext="edit" position="f" selection="f" grouping="f" rotation="f" cropping="f" text="f" aspectratio="f"/>
                    </v:shape>
                    <v:group id="Group 20" o:spid="_x0000_s1045" style="position:absolute;left:1635;top:2361;height:6356;width:8921;rotation:0f;" coordorigin="1656,3881" coordsize="8921,6356">
                      <o:lock v:ext="edit" position="f" selection="f" grouping="f" rotation="f" cropping="f" text="f" aspectratio="f"/>
                      <v:shape id="AutoShape 21" o:spid="_x0000_s1046" type="#_x0000_t32" style="position:absolute;left:7549;top:7016;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2" o:spid="_x0000_s1047"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shape id="AutoShape 23" o:spid="_x0000_s1048" type="#_x0000_t32" style="position:absolute;left:3011;top:9967;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049" type="#_x0000_t32" style="position:absolute;left:3011;top:6530;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Text Box 25" o:spid="_x0000_s1050"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6" o:spid="_x0000_s1051" type="#_x0000_t32" style="position:absolute;left:7549;top:9110;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7" o:spid="_x0000_s1052"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8" o:spid="_x0000_s1053"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txbxContent>
                        </v:textbox>
                      </v:rect>
                      <v:shape id="AutoShape 29" o:spid="_x0000_s1054" type="#_x0000_t32" style="position:absolute;left:4429;top:5511;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0" o:spid="_x0000_s1055" type="#_x0000_t32" style="position:absolute;left:5658;top:4533;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6" type="#_x0000_t4" style="position:absolute;left:1656;top:4480;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2" o:spid="_x0000_s1057" type="#_x0000_t32" style="position:absolute;left:5686;top:6453;height:1;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3" o:spid="_x0000_s1058" type="#_x0000_t32" style="position:absolute;left:5658;top:4533;height:0;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34" o:spid="_x0000_s1059"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850" w:hanging="850" w:hangingChars="405"/>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35" o:spid="_x0000_s1060" type="#_x0000_t116" style="position:absolute;left:6222;top:3881;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shape id="Text Box 36" o:spid="_x0000_s1061" type="#_x0000_t202" style="position:absolute;left:4834;top:4762;height:48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7" o:spid="_x0000_s1062"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8" o:spid="_x0000_s1063" type="#_x0000_t32" style="position:absolute;left:9040;top:4464;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shape id="AutoShape 39" o:spid="_x0000_s1064" type="#_x0000_t32" style="position:absolute;left:3011;top:2229;flip:x;height:6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0" o:spid="_x0000_s1065" type="#_x0000_t4" style="position:absolute;left:3562;top:9140;height:1920;width:612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申请人所在地外汇局分局（外汇管理部）根据申请材料，</w:t>
                          </w:r>
                        </w:p>
                        <w:p>
                          <w:pPr>
                            <w:jc w:val="center"/>
                          </w:pPr>
                          <w:r>
                            <w:rPr>
                              <w:rFonts w:hint="eastAsia"/>
                            </w:rPr>
                            <w:t>作出初审意见</w:t>
                          </w:r>
                        </w:p>
                      </w:txbxContent>
                    </v:textbox>
                  </v:shape>
                  <v:shape id="Text Box 41" o:spid="_x0000_s1066"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2" o:spid="_x0000_s1067"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3" o:spid="_x0000_s1068" type="#_x0000_t32" style="position:absolute;left:9682;top:10120;height:302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v:group>
        </w:pict>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附录二          </w:t>
      </w:r>
    </w:p>
    <w:p>
      <w:pPr>
        <w:widowControl/>
        <w:jc w:val="left"/>
        <w:rPr>
          <w:rFonts w:ascii="Times New Roman" w:hAnsi="Times New Roman" w:eastAsia="仿宋_GB2312"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 xml:space="preserve">    问：外资金融机构能否申请短期外债余额指标？</w:t>
      </w:r>
    </w:p>
    <w:p>
      <w:pPr>
        <w:rPr>
          <w:rFonts w:ascii="Times New Roman" w:hAnsi="Times New Roman" w:cs="Times New Roman"/>
        </w:rPr>
      </w:pPr>
      <w:r>
        <w:rPr>
          <w:rFonts w:ascii="Times New Roman" w:hAnsi="Times New Roman" w:eastAsia="仿宋_GB2312" w:cs="Times New Roman"/>
          <w:bCs/>
          <w:kern w:val="0"/>
          <w:sz w:val="30"/>
          <w:szCs w:val="30"/>
        </w:rPr>
        <w:t xml:space="preserve">    答：2018年1月12日以前，外资金融机构可在短期外债余额指标管理模式和宏观审慎管理模式下任选一种模式适用。2018年1月12日以后，外资金融机构自动适用宏观审慎管理模式。</w:t>
      </w: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2315">
    <w:nsid w:val="5A10FB2B"/>
    <w:multiLevelType w:val="singleLevel"/>
    <w:tmpl w:val="5A10FB2B"/>
    <w:lvl w:ilvl="0" w:tentative="1">
      <w:start w:val="5"/>
      <w:numFmt w:val="chineseCounting"/>
      <w:suff w:val="nothing"/>
      <w:lvlText w:val="（%1）"/>
      <w:lvlJc w:val="left"/>
    </w:lvl>
  </w:abstractNum>
  <w:abstractNum w:abstractNumId="1511059921">
    <w:nsid w:val="5A10F1D1"/>
    <w:multiLevelType w:val="singleLevel"/>
    <w:tmpl w:val="5A10F1D1"/>
    <w:lvl w:ilvl="0" w:tentative="1">
      <w:start w:val="2"/>
      <w:numFmt w:val="chineseCounting"/>
      <w:suff w:val="nothing"/>
      <w:lvlText w:val="%1、"/>
      <w:lvlJc w:val="left"/>
    </w:lvl>
  </w:abstractNum>
  <w:abstractNum w:abstractNumId="1511059970">
    <w:nsid w:val="5A10F202"/>
    <w:multiLevelType w:val="singleLevel"/>
    <w:tmpl w:val="5A10F202"/>
    <w:lvl w:ilvl="0" w:tentative="1">
      <w:start w:val="3"/>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abstractNum w:abstractNumId="1630588422">
    <w:nsid w:val="6130CE06"/>
    <w:multiLevelType w:val="singleLevel"/>
    <w:tmpl w:val="6130CE06"/>
    <w:lvl w:ilvl="0" w:tentative="1">
      <w:start w:val="2"/>
      <w:numFmt w:val="decimal"/>
      <w:suff w:val="space"/>
      <w:lvlText w:val="%1."/>
      <w:lvlJc w:val="left"/>
    </w:lvl>
  </w:abstractNum>
  <w:abstractNum w:abstractNumId="1511059956">
    <w:nsid w:val="5A10F1F4"/>
    <w:multiLevelType w:val="singleLevel"/>
    <w:tmpl w:val="5A10F1F4"/>
    <w:lvl w:ilvl="0" w:tentative="1">
      <w:start w:val="2"/>
      <w:numFmt w:val="chineseCounting"/>
      <w:suff w:val="nothing"/>
      <w:lvlText w:val="（%1）"/>
      <w:lvlJc w:val="left"/>
    </w:lvl>
  </w:abstractNum>
  <w:abstractNum w:abstractNumId="1511063245">
    <w:nsid w:val="5A10FECD"/>
    <w:multiLevelType w:val="singleLevel"/>
    <w:tmpl w:val="5A10FECD"/>
    <w:lvl w:ilvl="0" w:tentative="1">
      <w:start w:val="2"/>
      <w:numFmt w:val="decimal"/>
      <w:suff w:val="nothing"/>
      <w:lvlText w:val="%1."/>
      <w:lvlJc w:val="left"/>
    </w:lvl>
  </w:abstractNum>
  <w:num w:numId="1">
    <w:abstractNumId w:val="1511059921"/>
  </w:num>
  <w:num w:numId="2">
    <w:abstractNumId w:val="1511059936"/>
  </w:num>
  <w:num w:numId="3">
    <w:abstractNumId w:val="1511059956"/>
  </w:num>
  <w:num w:numId="4">
    <w:abstractNumId w:val="1511059970"/>
  </w:num>
  <w:num w:numId="5">
    <w:abstractNumId w:val="1511062315"/>
  </w:num>
  <w:num w:numId="6">
    <w:abstractNumId w:val="1511063245"/>
  </w:num>
  <w:num w:numId="7">
    <w:abstractNumId w:val="1630588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B7295"/>
    <w:rsid w:val="000C27F4"/>
    <w:rsid w:val="00135109"/>
    <w:rsid w:val="00145BD8"/>
    <w:rsid w:val="00176A6D"/>
    <w:rsid w:val="001B0173"/>
    <w:rsid w:val="002641AE"/>
    <w:rsid w:val="00265F5D"/>
    <w:rsid w:val="002C6C8D"/>
    <w:rsid w:val="00330668"/>
    <w:rsid w:val="00366261"/>
    <w:rsid w:val="0038340C"/>
    <w:rsid w:val="0039521E"/>
    <w:rsid w:val="003976DA"/>
    <w:rsid w:val="003A03C4"/>
    <w:rsid w:val="003E46F2"/>
    <w:rsid w:val="00420920"/>
    <w:rsid w:val="00442008"/>
    <w:rsid w:val="00466BB3"/>
    <w:rsid w:val="004E1CBA"/>
    <w:rsid w:val="004E593D"/>
    <w:rsid w:val="004F0C27"/>
    <w:rsid w:val="00624074"/>
    <w:rsid w:val="00631264"/>
    <w:rsid w:val="00643652"/>
    <w:rsid w:val="00665B51"/>
    <w:rsid w:val="006821C8"/>
    <w:rsid w:val="006B2D7D"/>
    <w:rsid w:val="006B35CF"/>
    <w:rsid w:val="006C7F0D"/>
    <w:rsid w:val="00715C9E"/>
    <w:rsid w:val="007274A4"/>
    <w:rsid w:val="00756B35"/>
    <w:rsid w:val="00771D90"/>
    <w:rsid w:val="007813E1"/>
    <w:rsid w:val="007F2F08"/>
    <w:rsid w:val="00823D47"/>
    <w:rsid w:val="008720C9"/>
    <w:rsid w:val="0087502E"/>
    <w:rsid w:val="0088591A"/>
    <w:rsid w:val="00886AB5"/>
    <w:rsid w:val="008A21BD"/>
    <w:rsid w:val="008A4948"/>
    <w:rsid w:val="008F57C2"/>
    <w:rsid w:val="0091298F"/>
    <w:rsid w:val="00925C27"/>
    <w:rsid w:val="0096421E"/>
    <w:rsid w:val="009A7B1F"/>
    <w:rsid w:val="009F0EE8"/>
    <w:rsid w:val="00AA48B7"/>
    <w:rsid w:val="00B80652"/>
    <w:rsid w:val="00C125D3"/>
    <w:rsid w:val="00C8240C"/>
    <w:rsid w:val="00C91A20"/>
    <w:rsid w:val="00C94951"/>
    <w:rsid w:val="00CB28E1"/>
    <w:rsid w:val="00CD76A0"/>
    <w:rsid w:val="00CF1A09"/>
    <w:rsid w:val="00CF3A9E"/>
    <w:rsid w:val="00CF5F04"/>
    <w:rsid w:val="00D217AF"/>
    <w:rsid w:val="00D845DA"/>
    <w:rsid w:val="00DC7DB0"/>
    <w:rsid w:val="00DD3466"/>
    <w:rsid w:val="00DF4380"/>
    <w:rsid w:val="00E91622"/>
    <w:rsid w:val="00EC386A"/>
    <w:rsid w:val="00F36838"/>
    <w:rsid w:val="00F53E44"/>
    <w:rsid w:val="00F55030"/>
    <w:rsid w:val="00FA003D"/>
    <w:rsid w:val="00FA6F43"/>
    <w:rsid w:val="00FB14AD"/>
    <w:rsid w:val="00FD2363"/>
    <w:rsid w:val="09540C4E"/>
    <w:rsid w:val="19DD6864"/>
    <w:rsid w:val="218E0671"/>
    <w:rsid w:val="3A9C39AD"/>
    <w:rsid w:val="44CB468A"/>
    <w:rsid w:val="742F57D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3"/>
        <o:r id="V:Rule2" type="connector" idref="#AutoShape 5"/>
        <o:r id="V:Rule3" type="connector" idref="#AutoShape 8"/>
        <o:r id="V:Rule4" type="connector" idref="#AutoShape 9"/>
        <o:r id="V:Rule5" type="connector" idref="#AutoShape 10"/>
        <o:r id="V:Rule6" type="connector" idref="#AutoShape 14"/>
        <o:r id="V:Rule7" type="connector" idref="#AutoShape 16"/>
        <o:r id="V:Rule8" type="connector" idref="#AutoShape 19"/>
        <o:r id="V:Rule9" type="connector" idref="#AutoShape 21"/>
        <o:r id="V:Rule10" type="connector" idref="#AutoShape 23"/>
        <o:r id="V:Rule11" type="connector" idref="#AutoShape 24"/>
        <o:r id="V:Rule12" type="connector" idref="#AutoShape 26"/>
        <o:r id="V:Rule13" type="connector" idref="#AutoShape 29"/>
        <o:r id="V:Rule14" type="connector" idref="#AutoShape 30"/>
        <o:r id="V:Rule15" type="connector" idref="#AutoShape 32"/>
        <o:r id="V:Rule16" type="connector" idref="#AutoShape 33"/>
        <o:r id="V:Rule17" type="connector" idref="#AutoShape 38"/>
        <o:r id="V:Rule18" type="connector" idref="#AutoShape 39"/>
        <o:r id="V:Rule19" type="connector" idref="#AutoShape 4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4"/>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5"/>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6"/>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5"/>
    <w:unhideWhenUsed/>
    <w:qFormat/>
    <w:uiPriority w:val="0"/>
    <w:rPr>
      <w:rFonts w:ascii="宋体"/>
      <w:sz w:val="18"/>
      <w:szCs w:val="18"/>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rFonts w:ascii="Times New Roman" w:hAnsi="Times New Roman"/>
      <w:sz w:val="18"/>
      <w:szCs w:val="18"/>
    </w:rPr>
  </w:style>
  <w:style w:type="paragraph" w:styleId="11">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qFormat/>
    <w:uiPriority w:val="0"/>
    <w:pPr>
      <w:widowControl/>
    </w:pPr>
    <w:rPr>
      <w:rFonts w:ascii="Calibri" w:hAnsi="Calibri" w:eastAsia="宋体" w:cs="宋体"/>
      <w:kern w:val="0"/>
      <w:szCs w:val="21"/>
    </w:rPr>
  </w:style>
  <w:style w:type="character" w:customStyle="1" w:styleId="24">
    <w:name w:val="标题 1 Char"/>
    <w:basedOn w:val="13"/>
    <w:link w:val="2"/>
    <w:uiPriority w:val="9"/>
    <w:rPr>
      <w:rFonts w:ascii="黑体" w:hAnsi="黑体" w:eastAsia="黑体" w:cs="宋体"/>
      <w:color w:val="000000"/>
      <w:kern w:val="0"/>
      <w:sz w:val="30"/>
      <w:szCs w:val="30"/>
    </w:rPr>
  </w:style>
  <w:style w:type="character" w:customStyle="1" w:styleId="25">
    <w:name w:val="标题 2 Char"/>
    <w:basedOn w:val="13"/>
    <w:link w:val="3"/>
    <w:qFormat/>
    <w:uiPriority w:val="9"/>
    <w:rPr>
      <w:rFonts w:ascii="Cambria" w:hAnsi="Cambria" w:eastAsia="宋体" w:cs="Times New Roman"/>
      <w:b/>
      <w:bCs/>
      <w:sz w:val="32"/>
      <w:szCs w:val="32"/>
    </w:rPr>
  </w:style>
  <w:style w:type="character" w:customStyle="1" w:styleId="26">
    <w:name w:val="标题 3 Char"/>
    <w:basedOn w:val="13"/>
    <w:link w:val="4"/>
    <w:uiPriority w:val="9"/>
    <w:rPr>
      <w:rFonts w:ascii="仿宋_GB2312" w:hAnsi="Calibri" w:eastAsia="仿宋_GB2312" w:cs="Times New Roman"/>
      <w:sz w:val="30"/>
      <w:szCs w:val="30"/>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uiPriority w:val="0"/>
    <w:rPr>
      <w:sz w:val="18"/>
      <w:szCs w:val="18"/>
    </w:rPr>
  </w:style>
  <w:style w:type="character" w:customStyle="1" w:styleId="30">
    <w:name w:val="批注框文本 Char1"/>
    <w:basedOn w:val="13"/>
    <w:semiHidden/>
    <w:uiPriority w:val="99"/>
    <w:rPr>
      <w:sz w:val="18"/>
      <w:szCs w:val="18"/>
    </w:rPr>
  </w:style>
  <w:style w:type="character" w:customStyle="1" w:styleId="31">
    <w:name w:val="HTML 预设格式 Char"/>
    <w:basedOn w:val="13"/>
    <w:link w:val="11"/>
    <w:uiPriority w:val="99"/>
    <w:rPr>
      <w:rFonts w:ascii="宋体" w:hAnsi="宋体" w:eastAsia="宋体" w:cs="宋体"/>
      <w:kern w:val="0"/>
      <w:sz w:val="24"/>
      <w:szCs w:val="24"/>
    </w:rPr>
  </w:style>
  <w:style w:type="character" w:customStyle="1" w:styleId="32">
    <w:name w:val="批注文字 Char"/>
    <w:basedOn w:val="13"/>
    <w:link w:val="6"/>
    <w:qFormat/>
    <w:uiPriority w:val="99"/>
    <w:rPr>
      <w:rFonts w:ascii="Calibri" w:hAnsi="Calibri" w:eastAsia="宋体" w:cs="Times New Roman"/>
    </w:rPr>
  </w:style>
  <w:style w:type="character" w:customStyle="1" w:styleId="33">
    <w:name w:val="脚注文本 Char"/>
    <w:basedOn w:val="13"/>
    <w:link w:val="10"/>
    <w:semiHidden/>
    <w:qFormat/>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w:basedOn w:val="13"/>
    <w:link w:val="5"/>
    <w:qFormat/>
    <w:uiPriority w:val="0"/>
    <w:rPr>
      <w:rFonts w:ascii="宋体"/>
      <w:sz w:val="18"/>
      <w:szCs w:val="18"/>
    </w:rPr>
  </w:style>
  <w:style w:type="character" w:customStyle="1" w:styleId="36">
    <w:name w:val="Intense Emphasis"/>
    <w:basedOn w:val="13"/>
    <w:qFormat/>
    <w:uiPriority w:val="21"/>
    <w:rPr>
      <w:b/>
      <w:bCs/>
      <w:i/>
      <w:iCs/>
      <w:color w:val="4F81BD"/>
    </w:rPr>
  </w:style>
  <w:style w:type="character" w:customStyle="1" w:styleId="37">
    <w:name w:val="文档结构图 Char1"/>
    <w:basedOn w:val="13"/>
    <w:semiHidden/>
    <w:qFormat/>
    <w:uiPriority w:val="99"/>
    <w:rPr>
      <w:rFonts w:ascii="宋体" w:eastAsia="宋体"/>
      <w:sz w:val="18"/>
      <w:szCs w:val="18"/>
    </w:rPr>
  </w:style>
  <w:style w:type="character" w:customStyle="1" w:styleId="38">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408</Words>
  <Characters>2331</Characters>
  <Lines>19</Lines>
  <Paragraphs>5</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2020-03-17T01:49:00Z</dcterms:created>
  <dc:creator>朱敏1</dc:creator>
  <cp:lastModifiedBy>郑博涵</cp:lastModifiedBy>
  <cp:lastPrinted>2021-08-06T09:56:00Z</cp:lastPrinted>
  <dcterms:modified xsi:type="dcterms:W3CDTF">2023-08-24T09:37:57Z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