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widowControl w:val="0"/>
        <w:wordWrap/>
        <w:autoSpaceDE w:val="0"/>
        <w:autoSpaceDN w:val="0"/>
        <w:adjustRightInd w:val="0"/>
        <w:snapToGrid w:val="0"/>
        <w:spacing w:before="0" w:after="0" w:line="360" w:lineRule="auto"/>
        <w:ind w:left="729" w:right="692"/>
        <w:jc w:val="center"/>
        <w:textAlignment w:val="auto"/>
        <w:outlineLvl w:val="9"/>
        <w:rPr>
          <w:rFonts w:ascii="Times New Roman" w:hAnsi="Times New Roman" w:eastAsia="仿宋_GB2312" w:cs="Times New Roma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更新日期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rPr>
        <w:t>年</w:t>
      </w:r>
      <w:r>
        <w:rPr>
          <w:rFonts w:hint="eastAsia" w:ascii="Times New Roman" w:hAnsi="Times New Roman" w:eastAsia="仿宋_GB2312" w:cs="Times New Roman"/>
          <w:lang w:val="en-US" w:eastAsia="zh-CN"/>
        </w:rPr>
        <w:t>2</w:t>
      </w:r>
      <w:r>
        <w:rPr>
          <w:rFonts w:ascii="Times New Roman" w:hAnsi="Times New Roman" w:eastAsia="仿宋_GB2312" w:cs="Times New Roman"/>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rPr>
        <w:t>日</w:t>
      </w:r>
    </w:p>
    <w:p>
      <w:pPr>
        <w:pStyle w:val="2"/>
        <w:widowControl w:val="0"/>
        <w:wordWrap/>
        <w:autoSpaceDE w:val="0"/>
        <w:autoSpaceDN w:val="0"/>
        <w:adjustRightInd w:val="0"/>
        <w:snapToGrid w:val="0"/>
        <w:spacing w:before="0" w:after="0" w:line="360" w:lineRule="auto"/>
        <w:ind w:leftChars="618" w:right="2740" w:firstLine="1800" w:firstLineChars="600"/>
        <w:textAlignment w:val="auto"/>
        <w:outlineLvl w:val="9"/>
        <w:rPr>
          <w:rFonts w:ascii="Times New Roman" w:hAnsi="Times New Roman" w:eastAsia="仿宋_GB2312" w:cs="Times New Roman"/>
          <w:spacing w:val="-12"/>
        </w:rPr>
      </w:pPr>
      <w:r>
        <w:rPr>
          <w:rFonts w:hint="eastAsia" w:ascii="Times New Roman" w:hAnsi="Times New Roman" w:eastAsia="仿宋_GB2312" w:cs="Times New Roman"/>
          <w:lang w:val="en-US" w:eastAsia="zh-CN"/>
        </w:rPr>
        <w:t xml:space="preserve"> </w:t>
      </w:r>
      <w:r>
        <w:rPr>
          <w:rFonts w:ascii="Times New Roman" w:hAnsi="Times New Roman" w:eastAsia="仿宋_GB2312" w:cs="Times New Roman"/>
        </w:rPr>
        <w:t>实施日期</w:t>
      </w:r>
      <w:r>
        <w:rPr>
          <w:rFonts w:hint="eastAsia" w:ascii="Times New Roman" w:hAnsi="Times New Roman" w:eastAsia="仿宋_GB2312" w:cs="Times New Roman"/>
        </w:rPr>
        <w:t>：202</w:t>
      </w:r>
      <w:r>
        <w:rPr>
          <w:rFonts w:hint="eastAsia" w:ascii="Times New Roman" w:hAnsi="Times New Roman" w:eastAsia="仿宋_GB2312" w:cs="Times New Roman"/>
          <w:lang w:val="en-US" w:eastAsia="zh-CN"/>
        </w:rPr>
        <w:t>1</w:t>
      </w:r>
      <w:r>
        <w:rPr>
          <w:rFonts w:ascii="Times New Roman" w:hAnsi="Times New Roman" w:eastAsia="仿宋_GB2312" w:cs="Times New Roman"/>
          <w:spacing w:val="-37"/>
        </w:rPr>
        <w:t>年</w:t>
      </w:r>
      <w:r>
        <w:rPr>
          <w:rFonts w:hint="eastAsia" w:ascii="Times New Roman" w:hAnsi="Times New Roman" w:eastAsia="仿宋_GB2312" w:cs="Times New Roman"/>
          <w:lang w:val="en-US" w:eastAsia="zh-CN"/>
        </w:rPr>
        <w:t>2</w:t>
      </w:r>
      <w:r>
        <w:rPr>
          <w:rFonts w:ascii="Times New Roman" w:hAnsi="Times New Roman" w:eastAsia="仿宋_GB2312" w:cs="Times New Roman"/>
        </w:rPr>
        <w:t>月</w:t>
      </w:r>
      <w:r>
        <w:rPr>
          <w:rFonts w:hint="eastAsia" w:ascii="Times New Roman" w:hAnsi="Times New Roman" w:eastAsia="仿宋_GB2312" w:cs="Times New Roman"/>
          <w:lang w:val="en-US" w:eastAsia="zh-CN"/>
        </w:rPr>
        <w:t>20</w:t>
      </w:r>
      <w:r>
        <w:rPr>
          <w:rFonts w:ascii="Times New Roman" w:hAnsi="Times New Roman" w:eastAsia="仿宋_GB2312" w:cs="Times New Roman"/>
        </w:rPr>
        <w:t>日</w:t>
      </w:r>
    </w:p>
    <w:p>
      <w:pPr>
        <w:pStyle w:val="2"/>
        <w:widowControl w:val="0"/>
        <w:wordWrap/>
        <w:autoSpaceDE w:val="0"/>
        <w:autoSpaceDN w:val="0"/>
        <w:adjustRightInd w:val="0"/>
        <w:snapToGrid w:val="0"/>
        <w:spacing w:before="0" w:after="0" w:line="360" w:lineRule="auto"/>
        <w:ind w:left="729" w:right="692"/>
        <w:jc w:val="center"/>
        <w:textAlignment w:val="auto"/>
        <w:outlineLvl w:val="9"/>
        <w:rPr>
          <w:rFonts w:hint="eastAsia" w:ascii="Times New Roman" w:hAnsi="Times New Roman" w:eastAsia="仿宋_GB2312" w:cs="Times New Roman"/>
        </w:rPr>
      </w:pPr>
      <w:r>
        <w:rPr>
          <w:rFonts w:hint="eastAsia" w:ascii="Times New Roman" w:hAnsi="Times New Roman" w:eastAsia="仿宋_GB2312" w:cs="Times New Roman"/>
        </w:rPr>
        <w:t>发布机构：国家外汇管理局</w:t>
      </w:r>
      <w:r>
        <w:rPr>
          <w:rFonts w:hint="eastAsia" w:ascii="Times New Roman" w:hAnsi="Times New Roman" w:eastAsia="仿宋_GB2312" w:cs="Times New Roman"/>
          <w:lang w:eastAsia="zh-CN"/>
        </w:rPr>
        <w:t>上海市分局</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br w:type="page"/>
      </w: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numPr>
          <w:ilvl w:val="0"/>
          <w:numId w:val="1"/>
        </w:numPr>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货物贸易外汇收入存放境外外汇账户审批</w:t>
      </w:r>
    </w:p>
    <w:p>
      <w:pPr>
        <w:pStyle w:val="2"/>
        <w:numPr>
          <w:numId w:val="0"/>
        </w:numPr>
        <w:spacing w:line="600" w:lineRule="exact"/>
        <w:ind w:leftChars="545"/>
        <w:rPr>
          <w:rFonts w:ascii="Times New Roman" w:hAnsi="Times New Roman" w:eastAsia="黑体" w:cs="Times New Roman"/>
        </w:rPr>
      </w:pPr>
      <w:r>
        <w:rPr>
          <w:rFonts w:hint="eastAsia" w:ascii="Times New Roman" w:hAnsi="Times New Roman" w:eastAsia="黑体" w:cs="Times New Roman"/>
          <w:lang w:eastAsia="zh-CN"/>
        </w:rPr>
        <w:t>（一）</w:t>
      </w: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ind w:left="1345"/>
        <w:rPr>
          <w:rFonts w:ascii="Times New Roman" w:hAnsi="Times New Roman" w:eastAsia="黑体" w:cs="Times New Roman"/>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eastAsia="zh-CN"/>
        </w:rPr>
        <w:t>。</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ind w:left="1345"/>
        <w:rPr>
          <w:rFonts w:ascii="Times New Roman" w:hAnsi="Times New Roman" w:eastAsia="黑体" w:cs="Times New Roman"/>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eastAsia="zh-CN"/>
        </w:rPr>
        <w:t>。</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r>
        <w:rPr>
          <w:rFonts w:hint="eastAsia" w:ascii="Times New Roman" w:hAnsi="Times New Roman" w:eastAsia="仿宋_GB2312" w:cs="Times New Roman"/>
          <w:lang w:eastAsia="zh-CN"/>
        </w:rPr>
        <w:t>。</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textDirection w:val="lrTb"/>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textDirection w:val="lrTb"/>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extDirection w:val="lrTb"/>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textDirection w:val="lrTb"/>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textDirection w:val="lrTb"/>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textDirection w:val="lrTb"/>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textDirection w:val="lrTb"/>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textDirection w:val="lrTb"/>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textDirection w:val="lrTb"/>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textDirection w:val="lrTb"/>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textDirection w:val="lrTb"/>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textDirection w:val="lrTb"/>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textDirection w:val="lrTb"/>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textDirection w:val="lrTb"/>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2" w:hRule="atLeast"/>
        </w:trPr>
        <w:tc>
          <w:tcPr>
            <w:tcW w:w="457" w:type="dxa"/>
            <w:textDirection w:val="lrTb"/>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extDirection w:val="lrTb"/>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textDirection w:val="lrTb"/>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extDirection w:val="lrTb"/>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textDirection w:val="lrTb"/>
            <w:vAlign w:val="top"/>
          </w:tcPr>
          <w:p>
            <w:pPr>
              <w:jc w:val="both"/>
              <w:rPr>
                <w:rFonts w:ascii="Times New Roman" w:hAnsi="Times New Roman" w:eastAsia="仿宋_GB2312" w:cs="Times New Roman"/>
                <w:kern w:val="2"/>
                <w:sz w:val="24"/>
                <w:szCs w:val="24"/>
                <w:lang w:val="en-US" w:bidi="ar-SA"/>
              </w:rPr>
            </w:pPr>
          </w:p>
        </w:tc>
        <w:tc>
          <w:tcPr>
            <w:tcW w:w="1842" w:type="dxa"/>
            <w:vMerge w:val="continue"/>
            <w:textDirection w:val="lrTb"/>
            <w:vAlign w:val="top"/>
          </w:tcPr>
          <w:p>
            <w:pPr>
              <w:jc w:val="both"/>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textDirection w:val="lrTb"/>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textDirection w:val="lrTb"/>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textDirection w:val="lrTb"/>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textDirection w:val="lrTb"/>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textDirection w:val="lrTb"/>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textDirection w:val="lrTb"/>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5" w:hRule="atLeast"/>
        </w:trPr>
        <w:tc>
          <w:tcPr>
            <w:tcW w:w="457" w:type="dxa"/>
            <w:textDirection w:val="lrTb"/>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extDirection w:val="lrTb"/>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extDirection w:val="lrTb"/>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extDirection w:val="lrTb"/>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textDirection w:val="lrTb"/>
            <w:vAlign w:val="center"/>
          </w:tcPr>
          <w:p>
            <w:pPr>
              <w:pStyle w:val="10"/>
              <w:ind w:right="-29"/>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hint="eastAsia" w:ascii="Times New Roman" w:hAnsi="Times New Roman" w:eastAsia="仿宋_GB2312" w:cs="Times New Roman"/>
          <w:sz w:val="30"/>
          <w:szCs w:val="30"/>
        </w:rPr>
        <w:t>申请人可通过注册所在地外汇局提交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r>
        <w:rPr>
          <w:rFonts w:ascii="Times New Roman" w:hAnsi="Times New Roman" w:eastAsia="仿宋_GB2312" w:cs="Times New Roman"/>
        </w:rPr>
        <w:t>。</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w:t>
      </w:r>
      <w:r>
        <w:rPr>
          <w:rFonts w:hint="eastAsia" w:ascii="Times New Roman" w:hAnsi="Times New Roman" w:eastAsia="黑体" w:cs="Times New Roman"/>
          <w:lang w:eastAsia="zh-CN"/>
        </w:rPr>
        <w:t>外汇</w:t>
      </w:r>
      <w:r>
        <w:rPr>
          <w:rFonts w:ascii="Times New Roman" w:hAnsi="Times New Roman" w:eastAsia="黑体" w:cs="Times New Roman"/>
        </w:rPr>
        <w:t>局办理</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lang w:val="zh-CN" w:eastAsia="zh-CN" w:bidi="zh-CN"/>
        </w:rPr>
      </w:pPr>
      <w:r>
        <w:rPr>
          <w:rFonts w:hint="eastAsia" w:ascii="Times New Roman" w:hAnsi="Times New Roman" w:eastAsia="仿宋_GB2312" w:cs="Times New Roman"/>
          <w:sz w:val="30"/>
          <w:szCs w:val="30"/>
          <w:lang w:val="en-US" w:eastAsia="zh-CN" w:bidi="zh-CN"/>
        </w:rPr>
        <w:t xml:space="preserve">           </w:t>
      </w:r>
      <w:r>
        <w:rPr>
          <w:rFonts w:ascii="Times New Roman" w:hAnsi="Times New Roman" w:eastAsia="仿宋_GB2312" w:cs="Times New Roman"/>
          <w:sz w:val="30"/>
          <w:szCs w:val="30"/>
          <w:lang w:val="zh-CN" w:eastAsia="zh-CN" w:bidi="zh-CN"/>
        </w:rPr>
        <w:t>向国家外汇管理局</w:t>
      </w:r>
      <w:r>
        <w:rPr>
          <w:rFonts w:hint="eastAsia" w:ascii="Times New Roman" w:hAnsi="Times New Roman" w:eastAsia="仿宋_GB2312" w:cs="Times New Roman"/>
          <w:sz w:val="30"/>
          <w:szCs w:val="30"/>
          <w:lang w:val="zh-CN" w:eastAsia="zh-CN" w:bidi="zh-CN"/>
        </w:rPr>
        <w:t>上海市分局</w:t>
      </w:r>
      <w:r>
        <w:rPr>
          <w:rFonts w:ascii="Times New Roman" w:hAnsi="Times New Roman" w:eastAsia="仿宋_GB2312" w:cs="Times New Roman"/>
          <w:sz w:val="30"/>
          <w:szCs w:val="30"/>
          <w:lang w:val="zh-CN" w:eastAsia="zh-CN" w:bidi="zh-CN"/>
        </w:rPr>
        <w:t>咨询、监督投诉等</w:t>
      </w:r>
      <w:r>
        <w:rPr>
          <w:rFonts w:hint="eastAsia" w:ascii="Times New Roman" w:hAnsi="Times New Roman" w:eastAsia="仿宋_GB2312" w:cs="Times New Roman"/>
          <w:sz w:val="30"/>
          <w:szCs w:val="30"/>
          <w:lang w:val="zh-CN" w:eastAsia="zh-CN" w:bidi="zh-CN"/>
        </w:rPr>
        <w:t>，</w:t>
      </w:r>
      <w:r>
        <w:rPr>
          <w:rFonts w:ascii="Times New Roman" w:hAnsi="Times New Roman" w:eastAsia="仿宋_GB2312" w:cs="Times New Roman"/>
          <w:sz w:val="30"/>
          <w:szCs w:val="30"/>
          <w:lang w:val="zh-CN" w:eastAsia="zh-CN" w:bidi="zh-CN"/>
        </w:rPr>
        <w:t>可通过国</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hint="eastAsia" w:ascii="Times New Roman" w:hAnsi="Times New Roman" w:eastAsia="仿宋_GB2312" w:cs="Times New Roman"/>
          <w:sz w:val="30"/>
          <w:szCs w:val="30"/>
          <w:lang w:val="zh-CN" w:eastAsia="zh-CN" w:bidi="zh-CN"/>
        </w:rPr>
      </w:pPr>
      <w:r>
        <w:rPr>
          <w:rFonts w:hint="eastAsia" w:ascii="Times New Roman" w:hAnsi="Times New Roman" w:eastAsia="仿宋_GB2312" w:cs="Times New Roman"/>
          <w:sz w:val="30"/>
          <w:szCs w:val="30"/>
          <w:lang w:val="en-US" w:eastAsia="zh-CN" w:bidi="zh-CN"/>
        </w:rPr>
        <w:t xml:space="preserve">  </w:t>
      </w:r>
      <w:r>
        <w:rPr>
          <w:rFonts w:ascii="Times New Roman" w:hAnsi="Times New Roman" w:eastAsia="仿宋_GB2312" w:cs="Times New Roman"/>
          <w:sz w:val="30"/>
          <w:szCs w:val="30"/>
          <w:lang w:val="zh-CN" w:eastAsia="zh-CN" w:bidi="zh-CN"/>
        </w:rPr>
        <w:t>家外汇管理局官方互联网站</w:t>
      </w:r>
      <w:r>
        <w:rPr>
          <w:rFonts w:ascii="Times New Roman" w:hAnsi="Times New Roman" w:eastAsia="仿宋_GB2312" w:cs="Times New Roman"/>
          <w:sz w:val="30"/>
          <w:szCs w:val="30"/>
          <w:lang w:val="zh-CN" w:eastAsia="zh-CN" w:bidi="zh-CN"/>
        </w:rPr>
        <w:fldChar w:fldCharType="begin"/>
      </w:r>
      <w:r>
        <w:rPr>
          <w:rFonts w:ascii="Times New Roman" w:hAnsi="Times New Roman" w:eastAsia="仿宋_GB2312" w:cs="Times New Roman"/>
          <w:sz w:val="30"/>
          <w:szCs w:val="30"/>
          <w:lang w:val="zh-CN" w:eastAsia="zh-CN" w:bidi="zh-CN"/>
        </w:rPr>
        <w:instrText xml:space="preserve"> HYPERLINK "http://www.safe.gov.cn" </w:instrText>
      </w:r>
      <w:r>
        <w:rPr>
          <w:rFonts w:ascii="Times New Roman" w:hAnsi="Times New Roman" w:eastAsia="仿宋_GB2312" w:cs="Times New Roman"/>
          <w:sz w:val="30"/>
          <w:szCs w:val="30"/>
          <w:lang w:val="zh-CN" w:eastAsia="zh-CN" w:bidi="zh-CN"/>
        </w:rPr>
        <w:fldChar w:fldCharType="separate"/>
      </w:r>
      <w:r>
        <w:rPr>
          <w:rFonts w:ascii="Times New Roman" w:hAnsi="Times New Roman" w:eastAsia="仿宋_GB2312" w:cs="Times New Roman"/>
          <w:sz w:val="30"/>
          <w:szCs w:val="30"/>
          <w:lang w:val="zh-CN" w:eastAsia="zh-CN" w:bidi="zh-CN"/>
        </w:rPr>
        <w:t>www.safe.gov.cn</w:t>
      </w:r>
      <w:r>
        <w:rPr>
          <w:rFonts w:ascii="Times New Roman" w:hAnsi="Times New Roman" w:eastAsia="仿宋_GB2312" w:cs="Times New Roman"/>
          <w:sz w:val="30"/>
          <w:szCs w:val="30"/>
          <w:lang w:val="zh-CN" w:eastAsia="zh-CN" w:bidi="zh-CN"/>
        </w:rPr>
        <w:fldChar w:fldCharType="end"/>
      </w:r>
      <w:r>
        <w:rPr>
          <w:rFonts w:hint="eastAsia" w:ascii="Times New Roman" w:hAnsi="Times New Roman" w:eastAsia="仿宋_GB2312" w:cs="Times New Roman"/>
          <w:sz w:val="30"/>
          <w:szCs w:val="30"/>
          <w:lang w:val="zh-CN" w:eastAsia="zh-CN" w:bidi="zh-CN"/>
        </w:rPr>
        <w:t>链接至上海分局，也可</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lang w:val="zh-CN" w:eastAsia="zh-CN" w:bidi="zh-CN"/>
        </w:rPr>
      </w:pPr>
      <w:r>
        <w:rPr>
          <w:rFonts w:hint="eastAsia" w:ascii="Times New Roman" w:hAnsi="Times New Roman" w:eastAsia="仿宋_GB2312" w:cs="Times New Roman"/>
          <w:sz w:val="30"/>
          <w:szCs w:val="30"/>
          <w:lang w:val="en-US" w:eastAsia="zh-CN" w:bidi="zh-CN"/>
        </w:rPr>
        <w:t xml:space="preserve">  </w:t>
      </w:r>
      <w:r>
        <w:rPr>
          <w:rFonts w:hint="eastAsia" w:ascii="Times New Roman" w:hAnsi="Times New Roman" w:eastAsia="仿宋_GB2312" w:cs="Times New Roman"/>
          <w:sz w:val="30"/>
          <w:szCs w:val="30"/>
          <w:lang w:val="zh-CN" w:eastAsia="zh-CN" w:bidi="zh-CN"/>
        </w:rPr>
        <w:t>直接通过</w:t>
      </w:r>
      <w:r>
        <w:rPr>
          <w:rFonts w:ascii="Times New Roman" w:hAnsi="Times New Roman" w:eastAsia="仿宋_GB2312" w:cs="Times New Roman"/>
          <w:sz w:val="30"/>
          <w:szCs w:val="30"/>
          <w:lang w:val="zh-CN" w:eastAsia="zh-CN" w:bidi="zh-CN"/>
        </w:rPr>
        <w:t>上</w:t>
      </w:r>
      <w:r>
        <w:rPr>
          <w:rFonts w:hint="eastAsia" w:ascii="Times New Roman" w:hAnsi="Times New Roman" w:eastAsia="仿宋_GB2312" w:cs="Times New Roman"/>
          <w:sz w:val="30"/>
          <w:szCs w:val="30"/>
          <w:lang w:val="zh-CN" w:eastAsia="zh-CN" w:bidi="zh-CN"/>
        </w:rPr>
        <w:t>述</w:t>
      </w:r>
      <w:r>
        <w:rPr>
          <w:rFonts w:ascii="Times New Roman" w:hAnsi="Times New Roman" w:eastAsia="仿宋_GB2312" w:cs="Times New Roman"/>
          <w:sz w:val="30"/>
          <w:szCs w:val="30"/>
          <w:lang w:val="zh-CN" w:eastAsia="zh-CN" w:bidi="zh-CN"/>
        </w:rPr>
        <w:t>公布的电话进行。</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70" w:leftChars="350" w:right="420" w:firstLine="576" w:firstLineChars="200"/>
        <w:rPr>
          <w:rFonts w:ascii="Times New Roman" w:hAnsi="Times New Roman" w:eastAsia="仿宋_GB2312" w:cs="Times New Roman"/>
        </w:rPr>
      </w:pPr>
      <w:r>
        <w:rPr>
          <w:rFonts w:hint="eastAsia" w:ascii="Times New Roman" w:hAnsi="Times New Roman" w:eastAsia="仿宋_GB2312" w:cs="Times New Roman"/>
          <w:spacing w:val="-6"/>
          <w:lang w:eastAsia="zh-CN"/>
        </w:rPr>
        <w:t>此</w:t>
      </w:r>
      <w:r>
        <w:rPr>
          <w:rFonts w:ascii="Times New Roman" w:hAnsi="Times New Roman" w:eastAsia="仿宋_GB2312" w:cs="Times New Roman"/>
          <w:spacing w:val="-6"/>
        </w:rPr>
        <w:t>项行政许可具体</w:t>
      </w:r>
      <w:r>
        <w:rPr>
          <w:rFonts w:hint="eastAsia" w:ascii="Times New Roman" w:hAnsi="Times New Roman" w:eastAsia="仿宋_GB2312" w:cs="Times New Roman"/>
          <w:spacing w:val="-6"/>
          <w:lang w:eastAsia="zh-CN"/>
        </w:rPr>
        <w:t>由</w:t>
      </w:r>
      <w:r>
        <w:rPr>
          <w:rFonts w:hint="eastAsia" w:ascii="Times New Roman" w:hAnsi="Times New Roman" w:eastAsia="仿宋_GB2312" w:cs="Times New Roman"/>
          <w:sz w:val="30"/>
          <w:szCs w:val="30"/>
        </w:rPr>
        <w:t>申请人注册所在地外汇局</w:t>
      </w:r>
      <w:r>
        <w:rPr>
          <w:rFonts w:ascii="Times New Roman" w:hAnsi="Times New Roman" w:eastAsia="仿宋_GB2312" w:cs="Times New Roman"/>
          <w:spacing w:val="-6"/>
        </w:rPr>
        <w:t>办理，各地外汇</w:t>
      </w:r>
      <w:r>
        <w:rPr>
          <w:rFonts w:ascii="Times New Roman" w:hAnsi="Times New Roman" w:eastAsia="仿宋_GB2312" w:cs="Times New Roman"/>
        </w:rPr>
        <w:t>局办公地址和办公时间见各地外汇局官方互联网站</w:t>
      </w:r>
      <w:bookmarkStart w:id="0" w:name="_GoBack"/>
      <w:bookmarkEnd w:id="0"/>
      <w:r>
        <w:rPr>
          <w:rFonts w:ascii="Times New Roman" w:hAnsi="Times New Roman" w:eastAsia="仿宋_GB2312" w:cs="Times New Roman"/>
        </w:rPr>
        <w:t>。</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组合 1027" o:spid="_x0000_s1029" style="position:absolute;left:0;margin-left:-8.25pt;margin-top:26.45pt;height:470.9pt;width:461.8pt;rotation:0f;z-index:251659264;" coordorigin="205,3287" coordsize="9236,9418">
            <o:lock v:ext="edit" position="f" selection="f" grouping="f" rotation="f" cropping="f" text="f" aspectratio="f"/>
            <v:shape id="AutoShape 4" o:spid="_x0000_s1030" type="#_x0000_t32" style="position:absolute;left:1818;top:4763;height:52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9" o:spid="_x0000_s1031" style="position:absolute;left:205;top:3287;height:9418;width:9236;rotation:0f;" coordorigin="205,3287" coordsize="9236,9418">
              <o:lock v:ext="edit" position="f" selection="f" grouping="f" rotation="f" cropping="f" text="f" aspectratio="f"/>
              <v:shape id="AutoShape 6"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AutoShape 7"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8"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9"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0"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1"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AutoShape 12"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AutoShape 13"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AutoShape 14"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AutoShape 15" o:spid="_x0000_s1041" type="#_x0000_t32" style="position:absolute;left:2809;top:589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6" o:spid="_x0000_s1042" type="#_x0000_t32" style="position:absolute;left:2809;top:676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7" o:spid="_x0000_s1043" type="#_x0000_t32" style="position:absolute;left:7946;top:4631;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8" o:spid="_x0000_s1044" type="#_x0000_t32" style="position:absolute;left:2809;top:4346;flip:x;height:0;width:37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9" o:spid="_x0000_s1045" type="#_x0000_t32" style="position:absolute;left:4632;top:9148;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0" o:spid="_x0000_s1046" type="#_x0000_t32" style="position:absolute;left:5996;top:10681;height:105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 o:spid="_x0000_s1047" type="#_x0000_t32" style="position:absolute;left:3482;top:10681;height:105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 o:spid="_x0000_s1048" type="#_x0000_t32" style="position:absolute;left:1853;top:7420;height:921;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3" o:spid="_x0000_s1049" type="#_x0000_t32" style="position:absolute;left:1853;top:8339;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textDirection w:val="lrTb"/>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textDirection w:val="lrTb"/>
            <w:vAlign w:val="top"/>
          </w:tcPr>
          <w:p>
            <w:pPr>
              <w:pStyle w:val="10"/>
              <w:keepNext/>
              <w:keepLines/>
              <w:spacing w:line="420" w:lineRule="exact"/>
              <w:rPr>
                <w:rFonts w:ascii="Times New Roman" w:hAnsi="Times New Roman" w:eastAsia="仿宋_GB2312" w:cs="Times New Roman"/>
                <w:sz w:val="24"/>
                <w:szCs w:val="24"/>
              </w:rPr>
            </w:pPr>
          </w:p>
        </w:tc>
        <w:tc>
          <w:tcPr>
            <w:tcW w:w="1882" w:type="dxa"/>
            <w:textDirection w:val="lrTb"/>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textDirection w:val="lrTb"/>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textDirection w:val="lrTb"/>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textDirection w:val="lrTb"/>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extDirection w:val="lrTb"/>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textDirection w:val="lrTb"/>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textDirection w:val="lrTb"/>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textDirection w:val="lrTb"/>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extDirection w:val="lrTb"/>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textDirection w:val="lrTb"/>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textDirection w:val="lrTb"/>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textDirection w:val="lrTb"/>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textDirection w:val="lrTb"/>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textDirection w:val="lrTb"/>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textDirection w:val="lrTb"/>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Text Box 1"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Text Box 2"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7585844">
    <w:nsid w:val="5FD1D034"/>
    <w:multiLevelType w:val="singleLevel"/>
    <w:tmpl w:val="5FD1D034"/>
    <w:lvl w:ilvl="0" w:tentative="1">
      <w:start w:val="4"/>
      <w:numFmt w:val="chineseCounting"/>
      <w:suff w:val="nothing"/>
      <w:lvlText w:val="%1、"/>
      <w:lvlJc w:val="left"/>
    </w:lvl>
  </w:abstractNum>
  <w:num w:numId="1">
    <w:abstractNumId w:val="16075858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paragraph" w:styleId="2">
    <w:name w:val="Body Text"/>
    <w:basedOn w:val="1"/>
    <w:link w:val="14"/>
    <w:qFormat/>
    <w:uiPriority w:val="1"/>
    <w:pPr>
      <w:ind w:left="1360"/>
    </w:pPr>
    <w:rPr>
      <w:sz w:val="30"/>
      <w:szCs w:val="30"/>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rFonts w:hint="default" w:ascii="ˎ̥" w:hAnsi="ˎ̥"/>
      <w:color w:val="0453CC"/>
      <w:sz w:val="20"/>
      <w:szCs w:val="20"/>
      <w:u w:val="none"/>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Char"/>
    <w:basedOn w:val="6"/>
    <w:link w:val="5"/>
    <w:uiPriority w:val="99"/>
    <w:rPr>
      <w:rFonts w:ascii="仿宋" w:hAnsi="仿宋" w:eastAsia="仿宋" w:cs="仿宋"/>
      <w:sz w:val="18"/>
      <w:szCs w:val="18"/>
      <w:lang w:val="zh-CN" w:eastAsia="zh-CN" w:bidi="zh-CN"/>
    </w:rPr>
  </w:style>
  <w:style w:type="character" w:customStyle="1" w:styleId="12">
    <w:name w:val="页脚 Char Char"/>
    <w:basedOn w:val="6"/>
    <w:link w:val="4"/>
    <w:uiPriority w:val="99"/>
    <w:rPr>
      <w:rFonts w:ascii="仿宋" w:hAnsi="仿宋" w:eastAsia="仿宋" w:cs="仿宋"/>
      <w:sz w:val="18"/>
      <w:szCs w:val="18"/>
      <w:lang w:val="zh-CN" w:eastAsia="zh-CN" w:bidi="zh-CN"/>
    </w:rPr>
  </w:style>
  <w:style w:type="character" w:customStyle="1" w:styleId="13">
    <w:name w:val="批注框文本 Char Char"/>
    <w:basedOn w:val="6"/>
    <w:link w:val="3"/>
    <w:uiPriority w:val="99"/>
    <w:rPr>
      <w:rFonts w:ascii="仿宋" w:hAnsi="仿宋" w:eastAsia="仿宋" w:cs="仿宋"/>
      <w:sz w:val="18"/>
      <w:szCs w:val="18"/>
      <w:lang w:val="zh-CN" w:eastAsia="zh-CN" w:bidi="zh-CN"/>
    </w:rPr>
  </w:style>
  <w:style w:type="character" w:customStyle="1" w:styleId="14">
    <w:name w:val="正文文本 Char Char"/>
    <w:basedOn w:val="6"/>
    <w:link w:val="2"/>
    <w:uiPriority w:val="1"/>
    <w:rPr>
      <w:rFonts w:ascii="仿宋" w:hAnsi="仿宋" w:eastAsia="仿宋" w:cs="仿宋"/>
      <w:sz w:val="30"/>
      <w:szCs w:val="30"/>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pbc</cp:lastModifiedBy>
  <cp:lastPrinted>2020-03-31T03:19:00Z</cp:lastPrinted>
  <dcterms:modified xsi:type="dcterms:W3CDTF">2021-09-07T07:52:45Z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2052-9.1.0.4468</vt:lpwstr>
  </property>
</Properties>
</file>