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上海市分局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r>
        <w:rPr>
          <w:rFonts w:hint="eastAsia" w:ascii="仿宋_GB2312" w:hAnsi="仿宋_GB2312" w:eastAsia="仿宋_GB2312" w:cs="仿宋_GB2312"/>
          <w:sz w:val="30"/>
          <w:szCs w:val="30"/>
        </w:rPr>
        <w:t>）</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Times New Roman" w:eastAsia="仿宋_GB2312"/>
          <w:sz w:val="30"/>
          <w:szCs w:val="30"/>
        </w:rPr>
      </w:pPr>
      <w:r>
        <w:rPr>
          <w:rFonts w:hint="eastAsia" w:ascii="仿宋_GB2312" w:hAnsi="Times New Roman" w:eastAsia="仿宋_GB2312"/>
          <w:sz w:val="30"/>
          <w:szCs w:val="30"/>
        </w:rPr>
        <w:t>（三）</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国家外汇管理局关于境外交易者和境外经纪机构从事境内特定品种期货交易外汇管理有关问题的通知</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（汇发〔201</w:t>
      </w: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〕3</w:t>
      </w: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号</w:t>
      </w:r>
      <w:r>
        <w:rPr>
          <w:rFonts w:hint="eastAsia" w:ascii="仿宋_GB2312" w:hAnsi="仿宋_GB2312" w:eastAsia="仿宋_GB2312" w:cs="仿宋_GB2312"/>
          <w:sz w:val="30"/>
          <w:szCs w:val="30"/>
        </w:rPr>
        <w:t>）</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四</w:t>
      </w:r>
      <w:r>
        <w:rPr>
          <w:rFonts w:hint="eastAsia" w:ascii="仿宋_GB2312" w:hAnsi="Times New Roman" w:eastAsia="仿宋_GB2312"/>
          <w:sz w:val="30"/>
          <w:szCs w:val="30"/>
        </w:rPr>
        <w:t>）《国家外汇管理局关于进一步促进跨境贸易投资便利化的通知》（汇发〔2019〕28号）</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五</w:t>
      </w:r>
      <w:r>
        <w:rPr>
          <w:rFonts w:hint="eastAsia" w:ascii="仿宋_GB2312" w:hAnsi="Times New Roman" w:eastAsia="仿宋_GB2312"/>
          <w:sz w:val="30"/>
          <w:szCs w:val="30"/>
        </w:rPr>
        <w:t>）《国家外汇管理局关于印发〈支付机构外汇业务管理办法〉的通知》（汇发〔2019〕13号）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六</w:t>
      </w:r>
      <w:r>
        <w:rPr>
          <w:rFonts w:hint="eastAsia" w:ascii="仿宋_GB2312" w:hAnsi="Times New Roman" w:eastAsia="仿宋_GB2312"/>
          <w:sz w:val="30"/>
          <w:szCs w:val="30"/>
        </w:rPr>
        <w:t>）《国家外汇管理局关于支持贸易新业态发展的通知》（汇发〔2020〕11号）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七</w:t>
      </w:r>
      <w:r>
        <w:rPr>
          <w:rFonts w:hint="eastAsia" w:ascii="仿宋_GB2312" w:hAnsi="Times New Roman" w:eastAsia="仿宋_GB2312"/>
          <w:sz w:val="30"/>
          <w:szCs w:val="30"/>
        </w:rPr>
        <w:t>）</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仿宋_GB2312" w:hAnsi="仿宋_GB2312" w:eastAsia="仿宋_GB2312" w:cs="仿宋_GB2312"/>
          <w:sz w:val="30"/>
          <w:szCs w:val="30"/>
        </w:rPr>
        <w:t>（2020年版）〉的通知》（汇发〔2020〕14号）</w:t>
      </w:r>
    </w:p>
    <w:p>
      <w:pPr>
        <w:adjustRightInd w:val="0"/>
        <w:snapToGrid w:val="0"/>
        <w:spacing w:line="360" w:lineRule="auto"/>
        <w:ind w:firstLine="600" w:firstLineChars="200"/>
        <w:rPr>
          <w:rFonts w:hint="eastAsia"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申请人注册所在地国家外汇管理局分支局（支付机构限于</w:t>
      </w:r>
      <w:r>
        <w:rPr>
          <w:rFonts w:hint="eastAsia" w:ascii="Times New Roman" w:hAnsi="Times New Roman" w:eastAsia="仿宋_GB2312" w:cs="Times New Roman"/>
          <w:sz w:val="30"/>
          <w:szCs w:val="30"/>
          <w:lang w:eastAsia="zh-CN"/>
        </w:rPr>
        <w:t>上海市</w:t>
      </w:r>
      <w:r>
        <w:rPr>
          <w:rFonts w:hint="eastAsia"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val="en-US" w:eastAsia="zh-CN"/>
        </w:rPr>
        <w:t>（</w:t>
      </w:r>
      <w:r>
        <w:rPr>
          <w:rFonts w:ascii="Times New Roman" w:hAnsi="Times New Roman" w:eastAsia="仿宋_GB2312" w:cs="Times New Roman"/>
          <w:sz w:val="30"/>
          <w:szCs w:val="30"/>
        </w:rPr>
        <w:t>支付机构、审核交易电子信息的银行限于</w:t>
      </w:r>
      <w:r>
        <w:rPr>
          <w:rFonts w:hint="eastAsia" w:ascii="Times New Roman" w:hAnsi="Times New Roman" w:eastAsia="仿宋_GB2312" w:cs="Times New Roman"/>
          <w:sz w:val="30"/>
          <w:szCs w:val="30"/>
          <w:lang w:eastAsia="zh-CN"/>
        </w:rPr>
        <w:t>上海市</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widowControl w:val="0"/>
        <w:wordWrap/>
        <w:adjustRightInd/>
        <w:snapToGrid/>
        <w:spacing w:line="24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号）的相关要求。境内特定品种期货交易发生实物交割的，直接为境外交易者、境外经纪机构提供交割货款结算服务的期货交易所或会员，应当办理“贸易外汇收支企业名录”登记</w:t>
      </w:r>
      <w:r>
        <w:rPr>
          <w:rFonts w:hint="eastAsia" w:ascii="Times New Roman" w:hAnsi="Times New Roman" w:eastAsia="仿宋_GB2312" w:cs="Times New Roman"/>
          <w:sz w:val="30"/>
          <w:szCs w:val="30"/>
          <w:lang w:eastAsia="zh-CN"/>
        </w:rPr>
        <w:t>，并符合</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国家外汇管理局关于境外交易者和境外经纪机构从事境内特定品种期货交易外汇管理有关问题的通知</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（汇发〔201</w:t>
      </w: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〕3</w:t>
      </w: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号</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的相关要求。</w:t>
      </w:r>
    </w:p>
    <w:p>
      <w:pPr>
        <w:adjustRightInd w:val="0"/>
        <w:snapToGrid w:val="0"/>
        <w:spacing w:line="360" w:lineRule="auto"/>
        <w:ind w:firstLine="600" w:firstLineChars="200"/>
        <w:rPr>
          <w:rFonts w:ascii="Times New Roman" w:hAnsi="Times New Roman" w:eastAsia="仿宋_GB2312" w:cs="Times New Roman"/>
          <w:sz w:val="30"/>
          <w:szCs w:val="30"/>
        </w:rPr>
      </w:pPr>
      <w:bookmarkStart w:id="0" w:name="_GoBack"/>
      <w:bookmarkEnd w:id="0"/>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（一）出口单位名录登记新办申请材料清单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c>
          <w:tcPr>
            <w:tcW w:w="45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textDirection w:val="lrTb"/>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extDirection w:val="lrTb"/>
            <w:vAlign w:val="center"/>
          </w:tcPr>
          <w:p>
            <w:pPr>
              <w:jc w:val="left"/>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textDirection w:val="lrTb"/>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260" w:after="260" w:line="416" w:lineRule="auto"/>
              <w:jc w:val="left"/>
              <w:rPr>
                <w:rFonts w:ascii="Times New Roman" w:hAnsi="Times New Roman" w:eastAsia="仿宋_GB2312" w:cs="Times New Roman"/>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c>
          <w:tcPr>
            <w:tcW w:w="46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6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textDirection w:val="lrTb"/>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（四）支付机构及审核交易电子信息的银行名录注销申请材料清单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所在地外汇局业务窗口</w:t>
      </w:r>
      <w:r>
        <w:rPr>
          <w:rFonts w:hint="eastAsia" w:ascii="Times New Roman" w:hAnsi="Times New Roman" w:eastAsia="仿宋_GB2312" w:cs="Times New Roman"/>
          <w:sz w:val="30"/>
          <w:szCs w:val="30"/>
        </w:rPr>
        <w:t>或</w:t>
      </w:r>
      <w:r>
        <w:rPr>
          <w:rFonts w:hint="eastAsia" w:ascii="Times New Roman" w:hAnsi="Times New Roman" w:eastAsia="仿宋_GB2312" w:cs="Times New Roman"/>
          <w:sz w:val="30"/>
          <w:szCs w:val="30"/>
          <w:lang w:eastAsia="zh-CN"/>
        </w:rPr>
        <w:t>国家外汇管理局</w:t>
      </w:r>
      <w:r>
        <w:rPr>
          <w:rFonts w:hint="eastAsia" w:ascii="Times New Roman" w:hAnsi="Times New Roman" w:eastAsia="仿宋_GB2312" w:cs="Times New Roman"/>
          <w:sz w:val="30"/>
          <w:szCs w:val="30"/>
        </w:rPr>
        <w:t>政务服务网上办理</w:t>
      </w:r>
      <w:r>
        <w:rPr>
          <w:rFonts w:hint="eastAsia" w:ascii="Times New Roman" w:hAnsi="Times New Roman" w:eastAsia="仿宋_GB2312" w:cs="Times New Roman"/>
          <w:sz w:val="30"/>
          <w:szCs w:val="30"/>
          <w:lang w:eastAsia="zh-CN"/>
        </w:rPr>
        <w:t>系统（</w:t>
      </w:r>
      <w:r>
        <w:rPr>
          <w:rFonts w:hint="eastAsia" w:ascii="Times New Roman" w:hAnsi="Times New Roman" w:eastAsia="仿宋_GB2312" w:cs="Times New Roman"/>
          <w:sz w:val="30"/>
          <w:szCs w:val="30"/>
          <w:lang w:val="en-US" w:eastAsia="zh-CN"/>
        </w:rPr>
        <w:t>zwfw.safe.gov.cn/asone</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（五）材料齐全的，依法予以受理，并出具行政许可受理通知书</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（六）</w:t>
      </w:r>
      <w:r>
        <w:rPr>
          <w:rFonts w:hint="eastAsia" w:ascii="仿宋_GB2312" w:hAnsi="Times New Roman" w:eastAsia="仿宋_GB2312"/>
          <w:sz w:val="30"/>
          <w:szCs w:val="30"/>
        </w:rPr>
        <w:t>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w:t>
      </w:r>
      <w:r>
        <w:rPr>
          <w:rFonts w:hint="eastAsia" w:ascii="Times New Roman" w:hAnsi="Times New Roman" w:eastAsia="黑体" w:cs="Times New Roman"/>
          <w:sz w:val="30"/>
          <w:szCs w:val="30"/>
        </w:rPr>
        <w:t>咨询途径、监督和投诉、办公地址和时间、公开查询方式等</w:t>
      </w:r>
    </w:p>
    <w:p>
      <w:pPr>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w:t>
      </w:r>
      <w:r>
        <w:rPr>
          <w:rFonts w:hint="eastAsia" w:ascii="Times New Roman" w:hAnsi="Times New Roman" w:eastAsia="仿宋_GB2312" w:cs="Times New Roman"/>
          <w:sz w:val="30"/>
          <w:szCs w:val="30"/>
          <w:lang w:eastAsia="zh-CN"/>
        </w:rPr>
        <w:t>上海</w:t>
      </w:r>
      <w:r>
        <w:rPr>
          <w:rFonts w:hint="eastAsia" w:ascii="Times New Roman" w:hAnsi="Times New Roman" w:eastAsia="仿宋_GB2312" w:cs="Times New Roman"/>
          <w:sz w:val="30"/>
          <w:szCs w:val="30"/>
        </w:rPr>
        <w:t>分局“业务指南”栏目中公布的电话进行。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AutoShape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3" o:spid="_x0000_s1028" type="#_x0000_t32" style="position:absolute;left:0;margin-left:40.6pt;margin-top:6.65pt;height:55.8pt;width:0.9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4" o:spid="_x0000_s1029" type="#_x0000_t32" style="position:absolute;left:0;flip:x;margin-left:41.45pt;margin-top:21.05pt;height:0.05pt;width:232.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5"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AutoShape 6"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AutoShape 7"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AutoShape 8" o:spid="_x0000_s1033" type="#_x0000_t32" style="position:absolute;left:0;margin-left:179.6pt;margin-top:221.95pt;height:31.2pt;width:0.05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9"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AutoShape 10" o:spid="_x0000_s1035" type="#_x0000_t32" style="position:absolute;left:0;margin-left:81.7pt;margin-top:115.4pt;height:0.05pt;width:70.4pt;rotation:0f;z-index:251669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1" o:spid="_x0000_s1036" type="#_x0000_t32" style="position:absolute;left:0;margin-left:88.6pt;margin-top:61.45pt;height:0.05pt;width:63.3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2" o:spid="_x0000_s1037" type="#_x0000_t32" style="position:absolute;left:0;margin-left:247pt;margin-top:322.15pt;height:50.9pt;width:0.85pt;rotation:0f;z-index:251673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3" o:spid="_x0000_s1038" type="#_x0000_t32" style="position:absolute;left:0;margin-left:124.45pt;margin-top:327.8pt;height:45.2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4"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AutoShape 15"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AutoShape 16" o:spid="_x0000_s1041" type="#_x0000_t32" style="position:absolute;left:0;margin-left:40.6pt;margin-top:143.7pt;height:39.15pt;width:0.05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7" o:spid="_x0000_s1042" type="#_x0000_t32" style="position:absolute;left:0;margin-left:40.6pt;margin-top:182.85pt;height:0.05pt;width:41.1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8"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AutoShape 19" o:spid="_x0000_s1044" type="#_x0000_t32" style="position:absolute;left:0;flip:y;margin-left:345.35pt;margin-top:4.1pt;height:44.7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20"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4" w:hRule="atLeast"/>
          <w:jc w:val="center"/>
        </w:trPr>
        <w:tc>
          <w:tcPr>
            <w:tcW w:w="2252" w:type="dxa"/>
            <w:vMerge w:val="restart"/>
            <w:tcBorders>
              <w:top w:val="nil"/>
              <w:left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r>
      <w:tr>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AutoShape 21" o:spid="_x0000_s1046" type="#_x0000_t32" style="position:absolute;left:0;flip:y;margin-left:122.9pt;margin-top:-0.25pt;height:15.65pt;width:233.1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textDirection w:val="lrTb"/>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paragraph" w:styleId="2">
    <w:name w:val="Body Text"/>
    <w:unhideWhenUsed/>
    <w:uiPriority w:val="99"/>
    <w:pPr>
      <w:ind w:left="1360"/>
    </w:pPr>
    <w:rPr>
      <w:rFonts w:ascii="Times New Roman" w:hAnsi="Times New Roman" w:eastAsia="宋体" w:cs="Times New Roman"/>
      <w:sz w:val="30"/>
      <w:szCs w:val="30"/>
      <w:lang w:val="en-US" w:eastAsia="zh-CN" w:bidi="ar-SA"/>
    </w:rPr>
  </w:style>
  <w:style w:type="paragraph" w:styleId="3">
    <w:name w:val="Balloon Text"/>
    <w:basedOn w:val="1"/>
    <w:link w:val="10"/>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rFonts w:hint="default" w:ascii="ˎ̥" w:hAnsi="ˎ̥"/>
      <w:color w:val="0453CC"/>
      <w:sz w:val="20"/>
      <w:szCs w:val="20"/>
      <w:u w:val="none"/>
    </w:rPr>
  </w:style>
  <w:style w:type="character" w:customStyle="1" w:styleId="8">
    <w:name w:val="页眉 Char Char"/>
    <w:basedOn w:val="6"/>
    <w:link w:val="5"/>
    <w:uiPriority w:val="99"/>
    <w:rPr>
      <w:sz w:val="18"/>
      <w:szCs w:val="18"/>
    </w:rPr>
  </w:style>
  <w:style w:type="character" w:customStyle="1" w:styleId="9">
    <w:name w:val="页脚 Char Char"/>
    <w:basedOn w:val="6"/>
    <w:link w:val="4"/>
    <w:uiPriority w:val="99"/>
    <w:rPr>
      <w:sz w:val="18"/>
      <w:szCs w:val="18"/>
    </w:rPr>
  </w:style>
  <w:style w:type="character" w:customStyle="1" w:styleId="10">
    <w:name w:val="批注框文本 Char Char"/>
    <w:basedOn w:val="6"/>
    <w:link w:val="3"/>
    <w:uiPriority w:val="99"/>
    <w:rPr>
      <w:sz w:val="18"/>
      <w:szCs w:val="18"/>
    </w:rPr>
  </w:style>
  <w:style w:type="character" w:customStyle="1" w:styleId="11">
    <w:name w:val="font11"/>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沈恺</cp:lastModifiedBy>
  <cp:lastPrinted>2020-05-07T10:41:00Z</cp:lastPrinted>
  <dcterms:modified xsi:type="dcterms:W3CDTF">2021-10-29T01:12:19Z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