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编号：57001-2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“进口付汇事前审核”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上海市分局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bookmarkStart w:id="0" w:name="_GoBack"/>
      <w:bookmarkEnd w:id="0"/>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（三）《国家外汇管理局关于印发〈跨国公司跨境资金集中运营管理规定〉的通知》（汇发〔2019〕7号）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（四）《国家外汇管理局关于优化外汇管理 支持涉外业务发展的通知》（汇发〔2020〕8号）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（五）《国家外汇管理局关于印发〈经常项目外汇业务指引（2020年版）〉的通知》（汇发〔2020〕14号）</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申请人注册所在地国家外汇管理局分支局</w:t>
      </w:r>
      <w:r>
        <w:rPr>
          <w:rFonts w:hint="eastAsia" w:ascii="Times New Roman" w:hAnsi="Times New Roman" w:eastAsia="仿宋_GB2312" w:cs="Times New Roman"/>
          <w:sz w:val="30"/>
          <w:szCs w:val="30"/>
          <w:lang w:val="en-US" w:eastAsia="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跨国公司资金集中运营-经常项目资金集中收付和轧差净额结算业务相关行政许可的决定机构为国家外汇管理局</w:t>
      </w:r>
      <w:r>
        <w:rPr>
          <w:rFonts w:hint="eastAsia" w:ascii="Times New Roman" w:hAnsi="Times New Roman" w:eastAsia="仿宋_GB2312" w:cs="Times New Roman"/>
          <w:sz w:val="30"/>
          <w:szCs w:val="30"/>
          <w:lang w:eastAsia="zh-CN"/>
        </w:rPr>
        <w:t>上海市</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其他行政许可的决定机构为申请人注册所在地</w:t>
      </w:r>
      <w:r>
        <w:rPr>
          <w:rFonts w:hint="eastAsia" w:ascii="Times New Roman" w:hAnsi="Times New Roman" w:eastAsia="仿宋_GB2312" w:cs="Times New Roman"/>
          <w:sz w:val="30"/>
          <w:szCs w:val="30"/>
        </w:rPr>
        <w:t>国家外汇管理局分支局</w:t>
      </w:r>
      <w:r>
        <w:rPr>
          <w:rFonts w:ascii="Times New Roman" w:hAnsi="Times New Roman" w:eastAsia="仿宋_GB2312" w:cs="Times New Roman"/>
          <w:sz w:val="30"/>
          <w:szCs w:val="30"/>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4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4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9" w:hRule="atLeast"/>
        </w:trPr>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46" w:type="dxa"/>
            <w:textDirection w:val="lrTb"/>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textDirection w:val="lrTb"/>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34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textDirection w:val="lrTb"/>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34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textDirection w:val="lrTb"/>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34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textDirection w:val="lrTb"/>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34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textDirection w:val="lrTb"/>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346" w:type="dxa"/>
            <w:textDirection w:val="lrTb"/>
            <w:vAlign w:val="center"/>
          </w:tcPr>
          <w:p>
            <w:pPr>
              <w:jc w:val="center"/>
              <w:rPr>
                <w:rStyle w:val="12"/>
                <w:rFonts w:ascii="Times New Roman" w:hAnsi="Times New Roman" w:cs="Times New Roman"/>
              </w:rPr>
            </w:pPr>
            <w:r>
              <w:rPr>
                <w:rFonts w:ascii="Times New Roman" w:hAnsi="Times New Roman" w:eastAsia="仿宋_GB2312" w:cs="Times New Roman"/>
                <w:sz w:val="24"/>
                <w:szCs w:val="24"/>
              </w:rPr>
              <w:t>原收汇凭证</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宋体"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textDirection w:val="lrTb"/>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346" w:type="dxa"/>
            <w:textDirection w:val="lrTb"/>
            <w:vAlign w:val="center"/>
          </w:tcPr>
          <w:p>
            <w:pPr>
              <w:jc w:val="center"/>
              <w:rPr>
                <w:rStyle w:val="12"/>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widowControl/>
              <w:jc w:val="left"/>
              <w:rPr>
                <w:rFonts w:ascii="Times New Roman" w:hAnsi="Times New Roman" w:eastAsia="仿宋_GB2312" w:cs="Times New Roman"/>
                <w:kern w:val="0"/>
                <w:sz w:val="24"/>
                <w:szCs w:val="24"/>
              </w:rPr>
            </w:pPr>
          </w:p>
        </w:tc>
        <w:tc>
          <w:tcPr>
            <w:tcW w:w="992" w:type="dxa"/>
            <w:vMerge w:val="continue"/>
            <w:textDirection w:val="lrTb"/>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textDirection w:val="lrTb"/>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textDirection w:val="lrTb"/>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textDirection w:val="lrTb"/>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textDirection w:val="lrTb"/>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textDirection w:val="lrTb"/>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textDirection w:val="lrTb"/>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textDirection w:val="lrTb"/>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textDirection w:val="lrTb"/>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p>
        </w:tc>
        <w:tc>
          <w:tcPr>
            <w:tcW w:w="1176" w:type="dxa"/>
            <w:vMerge w:val="continue"/>
            <w:textDirection w:val="lrTb"/>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textDirection w:val="lrTb"/>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extDirection w:val="lrTb"/>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textDirection w:val="lrTb"/>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extDirection w:val="lrTb"/>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rPr>
                <w:rFonts w:ascii="Times New Roman" w:hAnsi="Times New Roman" w:eastAsia="仿宋_GB2312" w:cs="Times New Roman"/>
                <w:sz w:val="24"/>
                <w:szCs w:val="24"/>
              </w:rPr>
            </w:pPr>
          </w:p>
        </w:tc>
        <w:tc>
          <w:tcPr>
            <w:tcW w:w="1701" w:type="dxa"/>
            <w:vMerge w:val="restart"/>
            <w:textDirection w:val="lrTb"/>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（六）跨国公司资金集中运营-经常项目资金集中收付和轧差净额结算业务备案申请材料清单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960"/>
        <w:gridCol w:w="226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27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textDirection w:val="lrTb"/>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27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27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27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27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27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1134"/>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559"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701" w:type="dxa"/>
            <w:vMerge w:val="restart"/>
            <w:textDirection w:val="lrTb"/>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78" w:type="dxa"/>
            <w:textDirection w:val="lrTb"/>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417" w:type="dxa"/>
            <w:textDirection w:val="lrTb"/>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8" w:hRule="atLeast"/>
        </w:trP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701"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textDirection w:val="lrTb"/>
            <w:vAlign w:val="center"/>
          </w:tcPr>
          <w:p>
            <w:pPr>
              <w:rPr>
                <w:rFonts w:ascii="Times New Roman" w:hAnsi="Times New Roman" w:eastAsia="仿宋_GB2312" w:cs="Times New Roman"/>
                <w:sz w:val="24"/>
                <w:szCs w:val="24"/>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w:t>
      </w:r>
      <w:r>
        <w:rPr>
          <w:rFonts w:ascii="Times New Roman" w:hAnsi="Times New Roman" w:eastAsia="仿宋_GB2312" w:cs="Times New Roman"/>
          <w:sz w:val="30"/>
          <w:szCs w:val="30"/>
        </w:rPr>
        <w:t>注册所在地外汇局</w:t>
      </w:r>
      <w:r>
        <w:rPr>
          <w:rFonts w:hint="eastAsia" w:ascii="Times New Roman" w:hAnsi="Times New Roman" w:eastAsia="仿宋_GB2312" w:cs="Times New Roman"/>
          <w:sz w:val="30"/>
          <w:szCs w:val="30"/>
        </w:rPr>
        <w:t>提交</w:t>
      </w:r>
      <w:r>
        <w:rPr>
          <w:rFonts w:hint="eastAsia" w:ascii="Times New Roman" w:hAnsi="Times New Roman" w:eastAsia="仿宋_GB2312" w:cs="Times New Roman"/>
          <w:sz w:val="30"/>
          <w:szCs w:val="30"/>
          <w:lang w:eastAsia="zh-CN"/>
        </w:rPr>
        <w:t>申请</w:t>
      </w:r>
      <w:r>
        <w:rPr>
          <w:rFonts w:hint="eastAsia" w:ascii="Times New Roman" w:hAnsi="Times New Roman" w:eastAsia="仿宋_GB2312" w:cs="Times New Roman"/>
          <w:sz w:val="30"/>
          <w:szCs w:val="30"/>
        </w:rPr>
        <w:t>材料</w:t>
      </w:r>
      <w:r>
        <w:rPr>
          <w:rFonts w:hint="eastAsia" w:ascii="Times New Roman" w:hAnsi="Times New Roman" w:eastAsia="仿宋_GB2312" w:cs="Times New Roman"/>
          <w:sz w:val="30"/>
          <w:szCs w:val="30"/>
          <w:lang w:eastAsia="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right="300" w:firstLine="600"/>
        <w:jc w:val="left"/>
        <w:rPr>
          <w:rFonts w:ascii="仿宋_GB2312" w:eastAsia="仿宋_GB2312"/>
          <w:sz w:val="30"/>
          <w:szCs w:val="30"/>
        </w:rPr>
      </w:pPr>
      <w:r>
        <w:rPr>
          <w:rFonts w:hint="eastAsia" w:ascii="仿宋_GB2312" w:eastAsia="仿宋_GB2312"/>
          <w:sz w:val="30"/>
          <w:szCs w:val="30"/>
        </w:rPr>
        <w:t>（一）申请人提交申请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（三）不属于本机构受理范围的，出具不予受理行政许可通知书</w:t>
      </w:r>
    </w:p>
    <w:p>
      <w:pPr>
        <w:ind w:right="300" w:firstLine="600"/>
        <w:jc w:val="left"/>
        <w:rPr>
          <w:rFonts w:ascii="仿宋_GB2312" w:eastAsia="仿宋_GB2312"/>
          <w:sz w:val="30"/>
          <w:szCs w:val="30"/>
        </w:rPr>
      </w:pPr>
      <w:r>
        <w:rPr>
          <w:rFonts w:hint="eastAsia" w:ascii="仿宋_GB2312" w:eastAsia="仿宋_GB2312"/>
          <w:sz w:val="30"/>
          <w:szCs w:val="30"/>
        </w:rPr>
        <w:t>（四）属于本机构受理范围的，审核申请材料是否齐全或符合法定形式；材料不全或不符合法定形式的，一次性告知补正材料，并出具行政许可补正通知书</w:t>
      </w:r>
    </w:p>
    <w:p>
      <w:pPr>
        <w:tabs>
          <w:tab w:val="left" w:pos="615"/>
        </w:tabs>
        <w:ind w:firstLine="585"/>
        <w:rPr>
          <w:rFonts w:ascii="仿宋_GB2312" w:eastAsia="仿宋_GB2312"/>
          <w:sz w:val="30"/>
          <w:szCs w:val="30"/>
        </w:rPr>
      </w:pPr>
      <w:r>
        <w:rPr>
          <w:rFonts w:hint="eastAsia" w:ascii="仿宋_GB2312" w:eastAsia="仿宋_GB2312"/>
          <w:sz w:val="30"/>
          <w:szCs w:val="30"/>
        </w:rPr>
        <w:t>（五）材料齐全的，依法予以受理，并出具行政许可受理通知书</w:t>
      </w:r>
    </w:p>
    <w:p>
      <w:pPr>
        <w:tabs>
          <w:tab w:val="left" w:pos="615"/>
        </w:tabs>
        <w:ind w:firstLine="600" w:firstLineChars="200"/>
        <w:rPr>
          <w:rFonts w:ascii="仿宋_GB2312" w:hAnsi="Times New Roman" w:eastAsia="仿宋_GB2312"/>
          <w:sz w:val="30"/>
          <w:szCs w:val="30"/>
        </w:rPr>
      </w:pPr>
      <w:r>
        <w:rPr>
          <w:rFonts w:hint="eastAsia" w:ascii="仿宋_GB2312" w:eastAsia="仿宋_GB2312"/>
          <w:sz w:val="30"/>
          <w:szCs w:val="30"/>
        </w:rPr>
        <w:t>（六）</w:t>
      </w:r>
      <w:r>
        <w:rPr>
          <w:rFonts w:hint="eastAsia" w:ascii="仿宋_GB2312" w:hAnsi="Times New Roman" w:eastAsia="仿宋_GB2312"/>
          <w:sz w:val="30"/>
          <w:szCs w:val="30"/>
        </w:rPr>
        <w:t>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十八、</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w:t>
      </w:r>
      <w:r>
        <w:rPr>
          <w:rFonts w:hint="eastAsia" w:ascii="Times New Roman" w:hAnsi="Times New Roman" w:eastAsia="仿宋_GB2312" w:cs="Times New Roman"/>
          <w:sz w:val="30"/>
          <w:szCs w:val="30"/>
          <w:lang w:eastAsia="zh-CN"/>
        </w:rPr>
        <w:t>上海</w:t>
      </w:r>
      <w:r>
        <w:rPr>
          <w:rFonts w:hint="eastAsia" w:ascii="Times New Roman" w:hAnsi="Times New Roman" w:eastAsia="仿宋_GB2312" w:cs="Times New Roman"/>
          <w:sz w:val="30"/>
          <w:szCs w:val="30"/>
        </w:rPr>
        <w:t>分局“业务指南”栏目中公布的电话进行。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AutoShape 2" o:spid="_x0000_s1027"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AutoShape 3" o:spid="_x0000_s1028" type="#_x0000_t32" style="position:absolute;left:0;margin-left:39.8pt;margin-top:12.8pt;height:43.4pt;width:0.8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4" o:spid="_x0000_s1029" type="#_x0000_t32" style="position:absolute;left:0;flip:x;margin-left:41.45pt;margin-top:21.05pt;height:0.05pt;width:232.1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5"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AutoShape 6" o:spid="_x0000_s1031" type="#_x0000_t32" style="position:absolute;left:0;margin-left:41.45pt;margin-top:125.3pt;height:57.55pt;width:0.05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7" o:spid="_x0000_s1032" type="#_x0000_t32" style="position:absolute;left:0;margin-left:99.95pt;margin-top:92.5pt;height:0.05pt;width:52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 o:spid="_x0000_s1033"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AutoShape 9" o:spid="_x0000_s1034"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AutoShape 10" o:spid="_x0000_s1035"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AutoShape 11" o:spid="_x0000_s1036" type="#_x0000_t32" style="position:absolute;left:0;margin-left:237.25pt;margin-top:323.1pt;height:52.1pt;width:0.05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2" o:spid="_x0000_s1037" type="#_x0000_t32" style="position:absolute;left:0;margin-left:117.65pt;margin-top:323.1pt;height:52.1pt;width:0.0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3" o:spid="_x0000_s1038"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AutoShape 14" o:spid="_x0000_s1039" type="#_x0000_t32" style="position:absolute;left:0;margin-left:179.6pt;margin-top:231.45pt;height:33.95pt;width:0.05pt;rotation:0f;z-index:251670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5" o:spid="_x0000_s1040" type="#_x0000_t32" style="position:absolute;left:0;margin-left:103.8pt;margin-top:61.4pt;height:0.05pt;width:48.15pt;rotation:0f;z-index:251671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6" o:spid="_x0000_s1041"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Rectangle 17" o:spid="_x0000_s1042"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AutoShape 18" o:spid="_x0000_s1043" type="#_x0000_t32" style="position:absolute;left:0;margin-left:40.6pt;margin-top:182.85pt;height:0.05pt;width:41.1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9" o:spid="_x0000_s1044" type="#_x0000_t32" style="position:absolute;left:0;flip:y;margin-left:345.35pt;margin-top:4.1pt;height:44.75pt;width:0.05pt;rotation:0f;z-index:2516756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20" o:spid="_x0000_s1045"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14</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rFonts w:hint="default" w:ascii="ˎ̥" w:hAnsi="ˎ̥"/>
      <w:color w:val="0453CC"/>
      <w:sz w:val="20"/>
      <w:szCs w:val="20"/>
      <w:u w:val="none"/>
    </w:rPr>
  </w:style>
  <w:style w:type="paragraph" w:customStyle="1" w:styleId="7">
    <w:name w:val="List Paragraph"/>
    <w:basedOn w:val="1"/>
    <w:qFormat/>
    <w:uiPriority w:val="34"/>
    <w:pPr>
      <w:ind w:firstLine="420" w:firstLineChars="200"/>
    </w:pPr>
  </w:style>
  <w:style w:type="paragraph" w:customStyle="1" w:styleId="8">
    <w:name w:val="Revision"/>
    <w:hidden/>
    <w:semiHidden/>
    <w:uiPriority w:val="99"/>
    <w:rPr>
      <w:rFonts w:ascii="Calibri" w:hAnsi="Calibri" w:eastAsia="宋体" w:cs="黑体"/>
      <w:kern w:val="2"/>
      <w:sz w:val="21"/>
      <w:szCs w:val="22"/>
      <w:lang w:val="en-US" w:eastAsia="zh-CN" w:bidi="ar-SA"/>
    </w:rPr>
  </w:style>
  <w:style w:type="character" w:customStyle="1" w:styleId="9">
    <w:name w:val="页眉 Char Char"/>
    <w:basedOn w:val="5"/>
    <w:link w:val="4"/>
    <w:uiPriority w:val="99"/>
    <w:rPr>
      <w:sz w:val="18"/>
      <w:szCs w:val="18"/>
    </w:rPr>
  </w:style>
  <w:style w:type="character" w:customStyle="1" w:styleId="10">
    <w:name w:val="页脚 Char Char"/>
    <w:basedOn w:val="5"/>
    <w:link w:val="3"/>
    <w:uiPriority w:val="99"/>
    <w:rPr>
      <w:sz w:val="18"/>
      <w:szCs w:val="18"/>
    </w:rPr>
  </w:style>
  <w:style w:type="character" w:customStyle="1" w:styleId="11">
    <w:name w:val="批注框文本 Char Char"/>
    <w:basedOn w:val="5"/>
    <w:link w:val="2"/>
    <w:uiPriority w:val="99"/>
    <w:rPr>
      <w:sz w:val="18"/>
      <w:szCs w:val="18"/>
    </w:rPr>
  </w:style>
  <w:style w:type="character" w:customStyle="1" w:styleId="12">
    <w:name w:val="mini-outputtext"/>
    <w:basedOn w:val="5"/>
    <w:uiPriority w:val="0"/>
    <w:rPr/>
  </w:style>
  <w:style w:type="character" w:customStyle="1" w:styleId="13">
    <w:name w:val="font11"/>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875</Words>
  <Characters>4994</Characters>
  <Lines>41</Lines>
  <Paragraphs>11</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pbc</cp:lastModifiedBy>
  <cp:lastPrinted>2020-05-08T08:38:00Z</cp:lastPrinted>
  <dcterms:modified xsi:type="dcterms:W3CDTF">2021-09-07T07:42:46Z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