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FF3" w:rsidRDefault="003427C1">
      <w:pPr>
        <w:ind w:right="300"/>
        <w:rPr>
          <w:rFonts w:ascii="Times New Roman" w:eastAsia="黑体" w:hAnsi="Times New Roman" w:cs="Times New Roman"/>
          <w:sz w:val="48"/>
          <w:szCs w:val="48"/>
        </w:rPr>
      </w:pPr>
      <w:r>
        <w:rPr>
          <w:rFonts w:ascii="Times New Roman" w:eastAsia="黑体" w:hAnsi="Times New Roman" w:cs="Times New Roman"/>
          <w:sz w:val="48"/>
          <w:szCs w:val="48"/>
        </w:rPr>
        <w:t>编号：</w:t>
      </w:r>
      <w:r>
        <w:rPr>
          <w:rFonts w:ascii="Times New Roman" w:eastAsia="黑体" w:hAnsi="Times New Roman" w:cs="Times New Roman"/>
          <w:sz w:val="48"/>
          <w:szCs w:val="48"/>
        </w:rPr>
        <w:t xml:space="preserve">57014              </w:t>
      </w:r>
      <w:r w:rsidR="007044DB" w:rsidRPr="007044DB">
        <w:rPr>
          <w:rFonts w:ascii="Times New Roman" w:eastAsia="黑体" w:hAnsi="Times New Roman" w:cs="Times New Roman"/>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框 1025" o:spid="_x0000_i1025" type="#_x0000_t75" style="width:86.95pt;height:70.15pt">
            <v:imagedata r:id="rId7" o:title=""/>
          </v:shape>
        </w:pict>
      </w:r>
      <w:r>
        <w:rPr>
          <w:rFonts w:ascii="Times New Roman" w:eastAsia="黑体" w:hAnsi="Times New Roman" w:cs="Times New Roman"/>
          <w:sz w:val="48"/>
          <w:szCs w:val="48"/>
        </w:rPr>
        <w:t xml:space="preserve"> </w:t>
      </w:r>
    </w:p>
    <w:p w:rsidR="00D72FF3" w:rsidRDefault="00D72FF3">
      <w:pPr>
        <w:ind w:right="300"/>
        <w:jc w:val="center"/>
        <w:rPr>
          <w:rFonts w:ascii="Times New Roman" w:eastAsia="黑体" w:hAnsi="Times New Roman" w:cs="Times New Roman"/>
          <w:sz w:val="30"/>
          <w:szCs w:val="30"/>
        </w:rPr>
      </w:pPr>
    </w:p>
    <w:p w:rsidR="00D72FF3" w:rsidRDefault="00D72FF3">
      <w:pPr>
        <w:ind w:right="300"/>
        <w:jc w:val="center"/>
        <w:rPr>
          <w:rFonts w:ascii="Times New Roman" w:eastAsia="黑体" w:hAnsi="Times New Roman" w:cs="Times New Roman"/>
          <w:sz w:val="30"/>
          <w:szCs w:val="30"/>
        </w:rPr>
      </w:pPr>
    </w:p>
    <w:p w:rsidR="00D72FF3" w:rsidRDefault="00D72FF3">
      <w:pPr>
        <w:ind w:right="300"/>
        <w:jc w:val="center"/>
        <w:rPr>
          <w:rFonts w:ascii="Times New Roman" w:eastAsia="黑体" w:hAnsi="Times New Roman" w:cs="Times New Roman"/>
          <w:sz w:val="30"/>
          <w:szCs w:val="30"/>
        </w:rPr>
      </w:pPr>
    </w:p>
    <w:p w:rsidR="00D72FF3" w:rsidRDefault="00D72FF3">
      <w:pPr>
        <w:ind w:right="300"/>
        <w:jc w:val="center"/>
        <w:rPr>
          <w:rFonts w:ascii="Times New Roman" w:eastAsia="黑体" w:hAnsi="Times New Roman" w:cs="Times New Roman"/>
          <w:sz w:val="52"/>
          <w:szCs w:val="52"/>
        </w:rPr>
      </w:pPr>
    </w:p>
    <w:p w:rsidR="00D72FF3" w:rsidRDefault="003427C1">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w:t>
      </w:r>
      <w:r>
        <w:rPr>
          <w:rFonts w:ascii="Times New Roman" w:eastAsia="黑体" w:hAnsi="Times New Roman" w:cs="Times New Roman"/>
          <w:sz w:val="52"/>
          <w:szCs w:val="52"/>
        </w:rPr>
        <w:t>保险、证券公司等非银行金融机构外汇业务市场准入、退出审批</w:t>
      </w:r>
      <w:r>
        <w:rPr>
          <w:rFonts w:ascii="Times New Roman" w:eastAsia="黑体" w:hAnsi="Times New Roman" w:cs="Times New Roman"/>
          <w:sz w:val="52"/>
          <w:szCs w:val="52"/>
        </w:rPr>
        <w:t>”</w:t>
      </w:r>
      <w:r>
        <w:rPr>
          <w:rFonts w:ascii="Times New Roman" w:eastAsia="黑体" w:hAnsi="Times New Roman" w:cs="Times New Roman"/>
          <w:sz w:val="52"/>
          <w:szCs w:val="52"/>
        </w:rPr>
        <w:t>行政审批服务指南</w:t>
      </w:r>
    </w:p>
    <w:p w:rsidR="00D72FF3" w:rsidRDefault="00D72FF3">
      <w:pPr>
        <w:ind w:right="300"/>
        <w:jc w:val="center"/>
        <w:rPr>
          <w:rFonts w:ascii="Times New Roman" w:eastAsia="仿宋_GB2312" w:hAnsi="Times New Roman" w:cs="Times New Roman"/>
          <w:sz w:val="30"/>
          <w:szCs w:val="30"/>
        </w:rPr>
      </w:pPr>
    </w:p>
    <w:p w:rsidR="00D72FF3" w:rsidRDefault="00D72FF3">
      <w:pPr>
        <w:ind w:right="300"/>
        <w:jc w:val="center"/>
        <w:rPr>
          <w:rFonts w:ascii="Times New Roman" w:eastAsia="仿宋_GB2312" w:hAnsi="Times New Roman" w:cs="Times New Roman"/>
          <w:sz w:val="30"/>
          <w:szCs w:val="30"/>
        </w:rPr>
      </w:pPr>
    </w:p>
    <w:p w:rsidR="00D72FF3" w:rsidRDefault="00D72FF3">
      <w:pPr>
        <w:ind w:right="300"/>
        <w:jc w:val="center"/>
        <w:rPr>
          <w:rFonts w:ascii="Times New Roman" w:eastAsia="仿宋_GB2312" w:hAnsi="Times New Roman" w:cs="Times New Roman"/>
          <w:sz w:val="30"/>
          <w:szCs w:val="30"/>
        </w:rPr>
      </w:pPr>
    </w:p>
    <w:p w:rsidR="00D72FF3" w:rsidRDefault="00D72FF3">
      <w:pPr>
        <w:ind w:right="300"/>
        <w:jc w:val="center"/>
        <w:rPr>
          <w:rFonts w:ascii="Times New Roman" w:eastAsia="仿宋_GB2312" w:hAnsi="Times New Roman" w:cs="Times New Roman"/>
          <w:sz w:val="30"/>
          <w:szCs w:val="30"/>
        </w:rPr>
      </w:pPr>
    </w:p>
    <w:p w:rsidR="00D72FF3" w:rsidRDefault="00D72FF3">
      <w:pPr>
        <w:ind w:right="300"/>
        <w:jc w:val="center"/>
        <w:rPr>
          <w:rFonts w:ascii="Times New Roman" w:eastAsia="仿宋_GB2312" w:hAnsi="Times New Roman" w:cs="Times New Roman"/>
          <w:sz w:val="30"/>
          <w:szCs w:val="30"/>
        </w:rPr>
      </w:pPr>
    </w:p>
    <w:p w:rsidR="00D72FF3" w:rsidRDefault="00D72FF3">
      <w:pPr>
        <w:ind w:right="300"/>
        <w:jc w:val="center"/>
        <w:rPr>
          <w:rFonts w:ascii="Times New Roman" w:eastAsia="仿宋_GB2312" w:hAnsi="Times New Roman" w:cs="Times New Roman"/>
          <w:sz w:val="30"/>
          <w:szCs w:val="30"/>
        </w:rPr>
      </w:pPr>
    </w:p>
    <w:p w:rsidR="003F102F" w:rsidRDefault="003F102F">
      <w:pPr>
        <w:ind w:right="300"/>
        <w:jc w:val="center"/>
        <w:rPr>
          <w:rFonts w:ascii="Times New Roman" w:eastAsia="仿宋_GB2312" w:hAnsi="Times New Roman" w:cs="Times New Roman"/>
          <w:sz w:val="30"/>
          <w:szCs w:val="30"/>
        </w:rPr>
      </w:pPr>
    </w:p>
    <w:p w:rsidR="00751CB3" w:rsidRDefault="00751CB3" w:rsidP="00751CB3">
      <w:pPr>
        <w:ind w:right="300"/>
        <w:jc w:val="center"/>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发布日期：</w:t>
      </w:r>
      <w:r>
        <w:rPr>
          <w:rFonts w:ascii="Times New Roman" w:eastAsia="仿宋_GB2312" w:hAnsi="Times New Roman" w:cs="Times New Roman"/>
          <w:sz w:val="30"/>
          <w:szCs w:val="30"/>
        </w:rPr>
        <w:t>2021</w:t>
      </w:r>
      <w:r>
        <w:rPr>
          <w:rFonts w:ascii="Times New Roman" w:eastAsia="仿宋_GB2312" w:hAnsi="Times New Roman" w:cs="Times New Roman" w:hint="eastAsia"/>
          <w:sz w:val="30"/>
          <w:szCs w:val="30"/>
        </w:rPr>
        <w:t>年</w:t>
      </w:r>
      <w:r>
        <w:rPr>
          <w:rFonts w:ascii="Times New Roman" w:eastAsia="仿宋_GB2312" w:hAnsi="Times New Roman" w:cs="Times New Roman"/>
          <w:sz w:val="30"/>
          <w:szCs w:val="30"/>
        </w:rPr>
        <w:t>9</w:t>
      </w:r>
      <w:r>
        <w:rPr>
          <w:rFonts w:ascii="Times New Roman" w:eastAsia="仿宋_GB2312" w:hAnsi="Times New Roman" w:cs="Times New Roman" w:hint="eastAsia"/>
          <w:sz w:val="30"/>
          <w:szCs w:val="30"/>
        </w:rPr>
        <w:t>月</w:t>
      </w:r>
      <w:r w:rsidR="003F102F">
        <w:rPr>
          <w:rFonts w:ascii="Times New Roman" w:eastAsia="仿宋_GB2312" w:hAnsi="Times New Roman" w:cs="Times New Roman" w:hint="eastAsia"/>
          <w:sz w:val="30"/>
          <w:szCs w:val="30"/>
        </w:rPr>
        <w:t>22</w:t>
      </w:r>
      <w:r>
        <w:rPr>
          <w:rFonts w:ascii="Times New Roman" w:eastAsia="仿宋_GB2312" w:hAnsi="Times New Roman" w:cs="Times New Roman" w:hint="eastAsia"/>
          <w:sz w:val="30"/>
          <w:szCs w:val="30"/>
        </w:rPr>
        <w:t>日</w:t>
      </w:r>
    </w:p>
    <w:p w:rsidR="00751CB3" w:rsidRDefault="00751CB3" w:rsidP="00751CB3">
      <w:pPr>
        <w:ind w:right="300"/>
        <w:jc w:val="center"/>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实施日期：</w:t>
      </w:r>
      <w:r>
        <w:rPr>
          <w:rFonts w:ascii="Times New Roman" w:eastAsia="仿宋_GB2312" w:hAnsi="Times New Roman" w:cs="Times New Roman"/>
          <w:sz w:val="30"/>
          <w:szCs w:val="30"/>
        </w:rPr>
        <w:t>2021</w:t>
      </w:r>
      <w:r>
        <w:rPr>
          <w:rFonts w:ascii="Times New Roman" w:eastAsia="仿宋_GB2312" w:hAnsi="Times New Roman" w:cs="Times New Roman" w:hint="eastAsia"/>
          <w:sz w:val="30"/>
          <w:szCs w:val="30"/>
        </w:rPr>
        <w:t>年</w:t>
      </w:r>
      <w:r>
        <w:rPr>
          <w:rFonts w:ascii="Times New Roman" w:eastAsia="仿宋_GB2312" w:hAnsi="Times New Roman" w:cs="Times New Roman"/>
          <w:sz w:val="30"/>
          <w:szCs w:val="30"/>
        </w:rPr>
        <w:t>9</w:t>
      </w:r>
      <w:r>
        <w:rPr>
          <w:rFonts w:ascii="Times New Roman" w:eastAsia="仿宋_GB2312" w:hAnsi="Times New Roman" w:cs="Times New Roman" w:hint="eastAsia"/>
          <w:sz w:val="30"/>
          <w:szCs w:val="30"/>
        </w:rPr>
        <w:t>月</w:t>
      </w:r>
      <w:r w:rsidR="003F102F">
        <w:rPr>
          <w:rFonts w:ascii="Times New Roman" w:eastAsia="仿宋_GB2312" w:hAnsi="Times New Roman" w:cs="Times New Roman" w:hint="eastAsia"/>
          <w:sz w:val="30"/>
          <w:szCs w:val="30"/>
        </w:rPr>
        <w:t>22</w:t>
      </w:r>
      <w:r>
        <w:rPr>
          <w:rFonts w:ascii="Times New Roman" w:eastAsia="仿宋_GB2312" w:hAnsi="Times New Roman" w:cs="Times New Roman" w:hint="eastAsia"/>
          <w:sz w:val="30"/>
          <w:szCs w:val="30"/>
        </w:rPr>
        <w:t>日</w:t>
      </w:r>
    </w:p>
    <w:p w:rsidR="00D72FF3" w:rsidRDefault="00751CB3" w:rsidP="003F102F">
      <w:pPr>
        <w:ind w:right="300"/>
        <w:jc w:val="center"/>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发布机构：国家外汇管理局上海市分局</w:t>
      </w:r>
    </w:p>
    <w:p w:rsidR="00D72FF3" w:rsidRDefault="00D72FF3">
      <w:pPr>
        <w:ind w:right="300"/>
        <w:rPr>
          <w:rFonts w:ascii="Times New Roman" w:eastAsia="仿宋_GB2312" w:hAnsi="Times New Roman" w:cs="Times New Roman"/>
          <w:sz w:val="30"/>
          <w:szCs w:val="30"/>
        </w:rPr>
        <w:sectPr w:rsidR="00D72FF3">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720"/>
          <w:titlePg/>
          <w:docGrid w:type="lines" w:linePitch="312"/>
        </w:sectPr>
      </w:pPr>
    </w:p>
    <w:p w:rsidR="00D72FF3" w:rsidRDefault="003427C1" w:rsidP="004B7DE5">
      <w:pPr>
        <w:adjustRightInd w:val="0"/>
        <w:spacing w:line="360" w:lineRule="auto"/>
        <w:ind w:firstLineChars="200" w:firstLine="600"/>
        <w:jc w:val="left"/>
        <w:rPr>
          <w:rFonts w:ascii="Times New Roman" w:eastAsia="黑体" w:hAnsi="Times New Roman" w:cs="Times New Roman"/>
          <w:sz w:val="30"/>
          <w:szCs w:val="30"/>
        </w:rPr>
      </w:pPr>
      <w:r>
        <w:rPr>
          <w:rFonts w:ascii="Times New Roman" w:eastAsia="黑体" w:hAnsi="Times New Roman" w:cs="Times New Roman"/>
          <w:sz w:val="30"/>
          <w:szCs w:val="30"/>
        </w:rPr>
        <w:lastRenderedPageBreak/>
        <w:t>一、项目信息</w:t>
      </w:r>
    </w:p>
    <w:p w:rsidR="00D72FF3" w:rsidRDefault="003427C1" w:rsidP="004B7DE5">
      <w:pPr>
        <w:adjustRightInd w:val="0"/>
        <w:spacing w:line="360" w:lineRule="auto"/>
        <w:ind w:firstLine="585"/>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项目名称：保险、证券公司等非银行金融机构外汇业务市场准入、退出审批；</w:t>
      </w:r>
    </w:p>
    <w:p w:rsidR="00D72FF3" w:rsidRDefault="003427C1" w:rsidP="004B7DE5">
      <w:pPr>
        <w:adjustRightInd w:val="0"/>
        <w:spacing w:line="360" w:lineRule="auto"/>
        <w:ind w:firstLine="585"/>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项目编号：</w:t>
      </w:r>
      <w:r>
        <w:rPr>
          <w:rFonts w:ascii="Times New Roman" w:eastAsia="仿宋_GB2312" w:hAnsi="Times New Roman" w:cs="Times New Roman"/>
          <w:sz w:val="30"/>
          <w:szCs w:val="30"/>
        </w:rPr>
        <w:t>57014</w:t>
      </w:r>
      <w:r>
        <w:rPr>
          <w:rFonts w:ascii="Times New Roman" w:eastAsia="仿宋_GB2312" w:hAnsi="Times New Roman" w:cs="Times New Roman"/>
          <w:sz w:val="30"/>
          <w:szCs w:val="30"/>
        </w:rPr>
        <w:t>；</w:t>
      </w:r>
    </w:p>
    <w:p w:rsidR="00D72FF3" w:rsidRDefault="003427C1" w:rsidP="004B7DE5">
      <w:pPr>
        <w:adjustRightIn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审批类别：行政许可。</w:t>
      </w:r>
    </w:p>
    <w:p w:rsidR="00D72FF3" w:rsidRDefault="003427C1" w:rsidP="004B7DE5">
      <w:pPr>
        <w:adjustRightIn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二、适用范围</w:t>
      </w:r>
    </w:p>
    <w:p w:rsidR="00D72FF3" w:rsidRDefault="003427C1" w:rsidP="004B7DE5">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本指南适用于</w:t>
      </w:r>
      <w:r>
        <w:rPr>
          <w:rFonts w:ascii="Times New Roman" w:eastAsia="仿宋_GB2312" w:hAnsi="Times New Roman" w:cs="Times New Roman"/>
          <w:sz w:val="30"/>
          <w:szCs w:val="30"/>
        </w:rPr>
        <w:t>“</w:t>
      </w:r>
      <w:r>
        <w:rPr>
          <w:rFonts w:ascii="Times New Roman" w:eastAsia="仿宋_GB2312" w:hAnsi="Times New Roman" w:cs="Times New Roman"/>
          <w:sz w:val="30"/>
          <w:szCs w:val="30"/>
        </w:rPr>
        <w:t>保险、证券公司等非银行金融机构外汇业务市场准入、退出审批</w:t>
      </w:r>
      <w:r>
        <w:rPr>
          <w:rFonts w:ascii="Times New Roman" w:eastAsia="仿宋_GB2312" w:hAnsi="Times New Roman" w:cs="Times New Roman"/>
          <w:sz w:val="30"/>
          <w:szCs w:val="30"/>
        </w:rPr>
        <w:t>”</w:t>
      </w:r>
      <w:r>
        <w:rPr>
          <w:rFonts w:ascii="Times New Roman" w:eastAsia="仿宋_GB2312" w:hAnsi="Times New Roman" w:cs="Times New Roman"/>
          <w:sz w:val="30"/>
          <w:szCs w:val="30"/>
        </w:rPr>
        <w:t>的申请和办理。</w:t>
      </w:r>
    </w:p>
    <w:p w:rsidR="00D72FF3" w:rsidRDefault="003427C1" w:rsidP="004B7DE5">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三、设定依据</w:t>
      </w:r>
    </w:p>
    <w:p w:rsidR="00D72FF3" w:rsidRDefault="003427C1" w:rsidP="004B7DE5">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号）第二十四条：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金融机构经营或者终止经营结汇、售汇业务，应当经外汇管理机关批准；经营或者终止经营其他外汇业务，应当按照职责分工经外汇管理机关或者金融业监督管理机构批准</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D72FF3" w:rsidRDefault="003427C1" w:rsidP="004B7DE5">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四、</w:t>
      </w:r>
      <w:r>
        <w:rPr>
          <w:rFonts w:ascii="Times New Roman" w:eastAsia="黑体" w:hAnsi="黑体" w:cs="Times New Roman"/>
          <w:sz w:val="30"/>
          <w:szCs w:val="30"/>
        </w:rPr>
        <w:t>非银行金融机构（不含保险公司）结售汇业务资格审批（含初审）</w:t>
      </w:r>
    </w:p>
    <w:p w:rsidR="00D72FF3" w:rsidRDefault="003427C1" w:rsidP="004B7DE5">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（一）办理依据</w:t>
      </w:r>
    </w:p>
    <w:p w:rsidR="00D72FF3" w:rsidRDefault="003427C1" w:rsidP="004B7DE5">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w:t>
      </w:r>
    </w:p>
    <w:p w:rsidR="00D72FF3" w:rsidRDefault="003427C1" w:rsidP="004B7DE5">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《国家外汇管理局关于发布〈境内企业内部成员外汇资金集中运营管理规定〉的通知》（汇发〔</w:t>
      </w:r>
      <w:r>
        <w:rPr>
          <w:rFonts w:ascii="Times New Roman" w:eastAsia="仿宋_GB2312" w:hAnsi="Times New Roman" w:cs="Times New Roman"/>
          <w:sz w:val="30"/>
          <w:szCs w:val="30"/>
        </w:rPr>
        <w:t>2009</w:t>
      </w:r>
      <w:r>
        <w:rPr>
          <w:rFonts w:ascii="Times New Roman" w:eastAsia="仿宋_GB2312" w:hAnsi="Times New Roman" w:cs="Times New Roman"/>
          <w:sz w:val="30"/>
          <w:szCs w:val="30"/>
        </w:rPr>
        <w:t>〕</w:t>
      </w:r>
      <w:r>
        <w:rPr>
          <w:rFonts w:ascii="Times New Roman" w:eastAsia="仿宋_GB2312" w:hAnsi="Times New Roman" w:cs="Times New Roman"/>
          <w:sz w:val="30"/>
          <w:szCs w:val="30"/>
        </w:rPr>
        <w:t>49</w:t>
      </w:r>
      <w:r>
        <w:rPr>
          <w:rFonts w:ascii="Times New Roman" w:eastAsia="仿宋_GB2312" w:hAnsi="Times New Roman" w:cs="Times New Roman"/>
          <w:sz w:val="30"/>
          <w:szCs w:val="30"/>
        </w:rPr>
        <w:t>号）。</w:t>
      </w:r>
    </w:p>
    <w:p w:rsidR="00D72FF3" w:rsidRDefault="003427C1" w:rsidP="004B7DE5">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《国家外汇管理局关于调整金融机构进入银行间外汇市场有关管理政策的通知》（汇发〔</w:t>
      </w:r>
      <w:r>
        <w:rPr>
          <w:rFonts w:ascii="Times New Roman" w:eastAsia="仿宋_GB2312" w:hAnsi="Times New Roman" w:cs="Times New Roman"/>
          <w:sz w:val="30"/>
          <w:szCs w:val="30"/>
        </w:rPr>
        <w:t>2014</w:t>
      </w:r>
      <w:r>
        <w:rPr>
          <w:rFonts w:ascii="Times New Roman" w:eastAsia="仿宋_GB2312" w:hAnsi="Times New Roman" w:cs="Times New Roman"/>
          <w:sz w:val="30"/>
          <w:szCs w:val="30"/>
        </w:rPr>
        <w:t>〕</w:t>
      </w:r>
      <w:r>
        <w:rPr>
          <w:rFonts w:ascii="Times New Roman" w:eastAsia="仿宋_GB2312" w:hAnsi="Times New Roman" w:cs="Times New Roman"/>
          <w:sz w:val="30"/>
          <w:szCs w:val="30"/>
        </w:rPr>
        <w:t>48</w:t>
      </w:r>
      <w:r>
        <w:rPr>
          <w:rFonts w:ascii="Times New Roman" w:eastAsia="仿宋_GB2312" w:hAnsi="Times New Roman" w:cs="Times New Roman"/>
          <w:sz w:val="30"/>
          <w:szCs w:val="30"/>
        </w:rPr>
        <w:t>号）。</w:t>
      </w:r>
    </w:p>
    <w:p w:rsidR="00D72FF3" w:rsidRDefault="003427C1" w:rsidP="004B7DE5">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《国家外汇管理局关于印发〈银行办理结售汇业务管理办法实施细则〉的通知》（汇发〔</w:t>
      </w:r>
      <w:r>
        <w:rPr>
          <w:rFonts w:ascii="Times New Roman" w:eastAsia="仿宋_GB2312" w:hAnsi="Times New Roman" w:cs="Times New Roman"/>
          <w:sz w:val="30"/>
          <w:szCs w:val="30"/>
        </w:rPr>
        <w:t>2014</w:t>
      </w:r>
      <w:r>
        <w:rPr>
          <w:rFonts w:ascii="Times New Roman" w:eastAsia="仿宋_GB2312" w:hAnsi="Times New Roman" w:cs="Times New Roman"/>
          <w:sz w:val="30"/>
          <w:szCs w:val="30"/>
        </w:rPr>
        <w:t>〕</w:t>
      </w:r>
      <w:r>
        <w:rPr>
          <w:rFonts w:ascii="Times New Roman" w:eastAsia="仿宋_GB2312" w:hAnsi="Times New Roman" w:cs="Times New Roman"/>
          <w:sz w:val="30"/>
          <w:szCs w:val="30"/>
        </w:rPr>
        <w:t>53</w:t>
      </w:r>
      <w:r>
        <w:rPr>
          <w:rFonts w:ascii="Times New Roman" w:eastAsia="仿宋_GB2312" w:hAnsi="Times New Roman" w:cs="Times New Roman"/>
          <w:sz w:val="30"/>
          <w:szCs w:val="30"/>
        </w:rPr>
        <w:t>号）。</w:t>
      </w:r>
    </w:p>
    <w:p w:rsidR="00D72FF3" w:rsidRDefault="003427C1" w:rsidP="004B7DE5">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《国家外汇管理局关于进一步促进贸易投资便利化完善真实性审核的通知》（汇发〔</w:t>
      </w:r>
      <w:r>
        <w:rPr>
          <w:rFonts w:ascii="Times New Roman" w:eastAsia="仿宋_GB2312" w:hAnsi="Times New Roman" w:cs="Times New Roman"/>
          <w:sz w:val="30"/>
          <w:szCs w:val="30"/>
        </w:rPr>
        <w:t>2016</w:t>
      </w:r>
      <w:r>
        <w:rPr>
          <w:rFonts w:ascii="Times New Roman" w:eastAsia="仿宋_GB2312" w:hAnsi="Times New Roman" w:cs="Times New Roman"/>
          <w:sz w:val="30"/>
          <w:szCs w:val="30"/>
        </w:rPr>
        <w:t>〕</w:t>
      </w:r>
      <w:r>
        <w:rPr>
          <w:rFonts w:ascii="Times New Roman" w:eastAsia="仿宋_GB2312" w:hAnsi="Times New Roman" w:cs="Times New Roman"/>
          <w:sz w:val="30"/>
          <w:szCs w:val="30"/>
        </w:rPr>
        <w:t>7</w:t>
      </w:r>
      <w:r>
        <w:rPr>
          <w:rFonts w:ascii="Times New Roman" w:eastAsia="仿宋_GB2312" w:hAnsi="Times New Roman" w:cs="Times New Roman"/>
          <w:sz w:val="30"/>
          <w:szCs w:val="30"/>
        </w:rPr>
        <w:t>号）。</w:t>
      </w:r>
    </w:p>
    <w:p w:rsidR="00D72FF3" w:rsidRDefault="003427C1" w:rsidP="004B7DE5">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（二）受理机构</w:t>
      </w:r>
    </w:p>
    <w:p w:rsidR="00D72FF3" w:rsidRDefault="003427C1" w:rsidP="004B7DE5">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仿宋_GB2312" w:hAnsi="Times New Roman" w:cs="Times New Roman"/>
          <w:sz w:val="30"/>
          <w:szCs w:val="30"/>
        </w:rPr>
        <w:t>非银行金融机构将相关申请材料提交所在地外汇局初审后，通过所在地外汇局报国家外汇管理局审批。</w:t>
      </w:r>
    </w:p>
    <w:p w:rsidR="00D72FF3" w:rsidRDefault="003427C1" w:rsidP="004B7DE5">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（三）决定机构</w:t>
      </w:r>
    </w:p>
    <w:p w:rsidR="00D72FF3" w:rsidRDefault="003427C1" w:rsidP="004B7DE5">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仿宋_GB2312" w:hAnsi="Times New Roman" w:cs="Times New Roman"/>
          <w:sz w:val="30"/>
          <w:szCs w:val="30"/>
        </w:rPr>
        <w:t>非银行金融机构将相关申请材料提交所在地外汇局初审后，通过所在地外汇局报国家外汇管理局审批。</w:t>
      </w:r>
    </w:p>
    <w:p w:rsidR="00D72FF3" w:rsidRDefault="003427C1" w:rsidP="004B7DE5">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（四）审批数量</w:t>
      </w:r>
    </w:p>
    <w:p w:rsidR="00D72FF3" w:rsidRDefault="003427C1" w:rsidP="004B7DE5">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无数量限制。</w:t>
      </w:r>
    </w:p>
    <w:p w:rsidR="00D72FF3" w:rsidRDefault="003427C1" w:rsidP="004B7DE5">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（五）办事条件</w:t>
      </w:r>
    </w:p>
    <w:p w:rsidR="00D72FF3" w:rsidRDefault="003427C1" w:rsidP="004B7DE5">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申请人条件</w:t>
      </w:r>
    </w:p>
    <w:p w:rsidR="00D72FF3" w:rsidRDefault="003427C1" w:rsidP="004B7DE5">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在境内合法注册成立的非银行金融机构。</w:t>
      </w:r>
    </w:p>
    <w:p w:rsidR="00D72FF3" w:rsidRDefault="003427C1" w:rsidP="004B7DE5">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具备或符合如下条件的，准予批准：</w:t>
      </w:r>
    </w:p>
    <w:p w:rsidR="00D72FF3" w:rsidRDefault="003427C1" w:rsidP="004B7DE5">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1</w:t>
      </w:r>
      <w:r>
        <w:rPr>
          <w:rFonts w:ascii="Times New Roman" w:eastAsia="仿宋_GB2312" w:hAnsi="Times New Roman" w:cs="Times New Roman"/>
          <w:sz w:val="30"/>
          <w:szCs w:val="30"/>
        </w:rPr>
        <w:t>）具有开展金融业务资格。</w:t>
      </w:r>
    </w:p>
    <w:p w:rsidR="00D72FF3" w:rsidRDefault="003427C1" w:rsidP="004B7DE5">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2</w:t>
      </w:r>
      <w:r>
        <w:rPr>
          <w:rFonts w:ascii="Times New Roman" w:eastAsia="仿宋_GB2312" w:hAnsi="Times New Roman" w:cs="Times New Roman"/>
          <w:sz w:val="30"/>
          <w:szCs w:val="30"/>
        </w:rPr>
        <w:t>）具有真实的结售汇需求，且有一定结售汇业务规模（可提供行业公认的排名、业绩认定等）。</w:t>
      </w:r>
    </w:p>
    <w:p w:rsidR="00D72FF3" w:rsidRDefault="003427C1" w:rsidP="004B7DE5">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3</w:t>
      </w:r>
      <w:r>
        <w:rPr>
          <w:rFonts w:ascii="Times New Roman" w:eastAsia="仿宋_GB2312" w:hAnsi="Times New Roman" w:cs="Times New Roman"/>
          <w:sz w:val="30"/>
          <w:szCs w:val="30"/>
        </w:rPr>
        <w:t>）监管机构或其授权的行业管理组织对其开展结售汇业务许可或无异议。</w:t>
      </w:r>
    </w:p>
    <w:p w:rsidR="00D72FF3" w:rsidRDefault="003427C1" w:rsidP="004B7DE5">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4</w:t>
      </w:r>
      <w:r>
        <w:rPr>
          <w:rFonts w:ascii="Times New Roman" w:eastAsia="仿宋_GB2312" w:hAnsi="Times New Roman" w:cs="Times New Roman"/>
          <w:sz w:val="30"/>
          <w:szCs w:val="30"/>
        </w:rPr>
        <w:t>）具备完善的业务管理制度。</w:t>
      </w:r>
    </w:p>
    <w:p w:rsidR="00D72FF3" w:rsidRDefault="003427C1" w:rsidP="004B7DE5">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5</w:t>
      </w:r>
      <w:r>
        <w:rPr>
          <w:rFonts w:ascii="Times New Roman" w:eastAsia="仿宋_GB2312" w:hAnsi="Times New Roman" w:cs="Times New Roman"/>
          <w:sz w:val="30"/>
          <w:szCs w:val="30"/>
        </w:rPr>
        <w:t>）具备办理业务所必需的场所和其他软硬件设施。</w:t>
      </w:r>
    </w:p>
    <w:p w:rsidR="00D72FF3" w:rsidRDefault="003427C1" w:rsidP="004B7DE5">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6</w:t>
      </w:r>
      <w:r>
        <w:rPr>
          <w:rFonts w:ascii="Times New Roman" w:eastAsia="仿宋_GB2312" w:hAnsi="Times New Roman" w:cs="Times New Roman"/>
          <w:sz w:val="30"/>
          <w:szCs w:val="30"/>
        </w:rPr>
        <w:t>）拥有具备相应业务工作经验的高级管理人员和业务人员。</w:t>
      </w:r>
    </w:p>
    <w:p w:rsidR="00D72FF3" w:rsidRDefault="003427C1" w:rsidP="004B7DE5">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禁止性要求：如符合上述条件，不存在不予许可的情况。</w:t>
      </w:r>
    </w:p>
    <w:p w:rsidR="00D72FF3" w:rsidRDefault="003427C1">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（六）申请材料</w:t>
      </w:r>
    </w:p>
    <w:tbl>
      <w:tblPr>
        <w:tblW w:w="8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
        <w:gridCol w:w="3879"/>
        <w:gridCol w:w="1000"/>
        <w:gridCol w:w="559"/>
        <w:gridCol w:w="851"/>
        <w:gridCol w:w="567"/>
        <w:gridCol w:w="1226"/>
      </w:tblGrid>
      <w:tr w:rsidR="00D72FF3">
        <w:trPr>
          <w:jc w:val="center"/>
        </w:trPr>
        <w:tc>
          <w:tcPr>
            <w:tcW w:w="524" w:type="dxa"/>
            <w:tcBorders>
              <w:top w:val="single" w:sz="4" w:space="0" w:color="auto"/>
              <w:left w:val="single" w:sz="4" w:space="0" w:color="auto"/>
              <w:bottom w:val="single" w:sz="4" w:space="0" w:color="auto"/>
              <w:right w:val="single" w:sz="4" w:space="0" w:color="auto"/>
            </w:tcBorders>
            <w:vAlign w:val="center"/>
          </w:tcPr>
          <w:p w:rsidR="00D72FF3" w:rsidRDefault="003427C1">
            <w:pPr>
              <w:contextualSpacing/>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3879" w:type="dxa"/>
            <w:tcBorders>
              <w:top w:val="single" w:sz="4" w:space="0" w:color="auto"/>
              <w:left w:val="single" w:sz="4" w:space="0" w:color="auto"/>
              <w:bottom w:val="single" w:sz="4" w:space="0" w:color="auto"/>
              <w:right w:val="single" w:sz="4" w:space="0" w:color="auto"/>
            </w:tcBorders>
            <w:vAlign w:val="center"/>
          </w:tcPr>
          <w:p w:rsidR="00D72FF3" w:rsidRDefault="003427C1">
            <w:pPr>
              <w:contextualSpacing/>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1000" w:type="dxa"/>
            <w:tcBorders>
              <w:top w:val="single" w:sz="4" w:space="0" w:color="auto"/>
              <w:left w:val="single" w:sz="4" w:space="0" w:color="auto"/>
              <w:bottom w:val="single" w:sz="4" w:space="0" w:color="auto"/>
              <w:right w:val="single" w:sz="4" w:space="0" w:color="auto"/>
            </w:tcBorders>
            <w:vAlign w:val="center"/>
          </w:tcPr>
          <w:p w:rsidR="00D72FF3" w:rsidRDefault="003427C1">
            <w:pPr>
              <w:contextualSpacing/>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559" w:type="dxa"/>
            <w:tcBorders>
              <w:top w:val="single" w:sz="4" w:space="0" w:color="auto"/>
              <w:left w:val="single" w:sz="4" w:space="0" w:color="auto"/>
              <w:bottom w:val="single" w:sz="4" w:space="0" w:color="auto"/>
              <w:right w:val="single" w:sz="4" w:space="0" w:color="auto"/>
            </w:tcBorders>
            <w:vAlign w:val="center"/>
          </w:tcPr>
          <w:p w:rsidR="00D72FF3" w:rsidRDefault="003427C1">
            <w:pPr>
              <w:contextualSpacing/>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51" w:type="dxa"/>
            <w:tcBorders>
              <w:top w:val="single" w:sz="4" w:space="0" w:color="auto"/>
              <w:left w:val="single" w:sz="4" w:space="0" w:color="auto"/>
              <w:bottom w:val="single" w:sz="4" w:space="0" w:color="auto"/>
              <w:right w:val="single" w:sz="4" w:space="0" w:color="auto"/>
            </w:tcBorders>
            <w:vAlign w:val="center"/>
          </w:tcPr>
          <w:p w:rsidR="00D72FF3" w:rsidRDefault="003427C1">
            <w:pPr>
              <w:contextualSpacing/>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567" w:type="dxa"/>
            <w:tcBorders>
              <w:top w:val="single" w:sz="4" w:space="0" w:color="auto"/>
              <w:left w:val="single" w:sz="4" w:space="0" w:color="auto"/>
              <w:bottom w:val="single" w:sz="4" w:space="0" w:color="auto"/>
              <w:right w:val="single" w:sz="4" w:space="0" w:color="auto"/>
            </w:tcBorders>
            <w:vAlign w:val="center"/>
          </w:tcPr>
          <w:p w:rsidR="00D72FF3" w:rsidRDefault="003427C1">
            <w:pPr>
              <w:contextualSpacing/>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1226" w:type="dxa"/>
            <w:tcBorders>
              <w:top w:val="single" w:sz="4" w:space="0" w:color="auto"/>
              <w:left w:val="single" w:sz="4" w:space="0" w:color="auto"/>
              <w:bottom w:val="single" w:sz="4" w:space="0" w:color="auto"/>
              <w:right w:val="single" w:sz="4" w:space="0" w:color="auto"/>
            </w:tcBorders>
            <w:vAlign w:val="center"/>
          </w:tcPr>
          <w:p w:rsidR="00D72FF3" w:rsidRDefault="003427C1">
            <w:pPr>
              <w:contextualSpacing/>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D72FF3">
        <w:trPr>
          <w:jc w:val="center"/>
        </w:trPr>
        <w:tc>
          <w:tcPr>
            <w:tcW w:w="524" w:type="dxa"/>
            <w:tcBorders>
              <w:top w:val="single" w:sz="4" w:space="0" w:color="auto"/>
              <w:left w:val="single" w:sz="4" w:space="0" w:color="auto"/>
              <w:bottom w:val="single" w:sz="4" w:space="0" w:color="auto"/>
              <w:right w:val="single" w:sz="4" w:space="0" w:color="auto"/>
            </w:tcBorders>
            <w:vAlign w:val="center"/>
          </w:tcPr>
          <w:p w:rsidR="00D72FF3" w:rsidRDefault="003427C1">
            <w:pPr>
              <w:contextualSpacing/>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3879" w:type="dxa"/>
            <w:tcBorders>
              <w:top w:val="single" w:sz="4" w:space="0" w:color="auto"/>
              <w:left w:val="single" w:sz="4" w:space="0" w:color="auto"/>
              <w:bottom w:val="single" w:sz="4" w:space="0" w:color="auto"/>
              <w:right w:val="single" w:sz="4" w:space="0" w:color="auto"/>
            </w:tcBorders>
            <w:vAlign w:val="center"/>
          </w:tcPr>
          <w:p w:rsidR="00D72FF3" w:rsidRDefault="003427C1">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书面申请</w:t>
            </w:r>
          </w:p>
        </w:tc>
        <w:tc>
          <w:tcPr>
            <w:tcW w:w="1000" w:type="dxa"/>
            <w:tcBorders>
              <w:top w:val="single" w:sz="4" w:space="0" w:color="auto"/>
              <w:left w:val="single" w:sz="4" w:space="0" w:color="auto"/>
              <w:bottom w:val="single" w:sz="4" w:space="0" w:color="auto"/>
              <w:right w:val="single" w:sz="4" w:space="0" w:color="auto"/>
            </w:tcBorders>
            <w:vAlign w:val="center"/>
          </w:tcPr>
          <w:p w:rsidR="00D72FF3" w:rsidRDefault="003427C1">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加盖公章的原件</w:t>
            </w:r>
          </w:p>
        </w:tc>
        <w:tc>
          <w:tcPr>
            <w:tcW w:w="559" w:type="dxa"/>
            <w:tcBorders>
              <w:top w:val="single" w:sz="4" w:space="0" w:color="auto"/>
              <w:left w:val="single" w:sz="4" w:space="0" w:color="auto"/>
              <w:bottom w:val="single" w:sz="4" w:space="0" w:color="auto"/>
              <w:right w:val="single" w:sz="4" w:space="0" w:color="auto"/>
            </w:tcBorders>
            <w:vAlign w:val="center"/>
          </w:tcPr>
          <w:p w:rsidR="00D72FF3" w:rsidRDefault="003427C1">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D72FF3" w:rsidRDefault="003427C1">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tcBorders>
              <w:top w:val="single" w:sz="4" w:space="0" w:color="auto"/>
              <w:left w:val="single" w:sz="4" w:space="0" w:color="auto"/>
              <w:bottom w:val="single" w:sz="4" w:space="0" w:color="auto"/>
              <w:right w:val="single" w:sz="4" w:space="0" w:color="auto"/>
            </w:tcBorders>
            <w:vAlign w:val="center"/>
          </w:tcPr>
          <w:p w:rsidR="00D72FF3" w:rsidRDefault="00D72FF3">
            <w:pPr>
              <w:contextualSpacing/>
              <w:jc w:val="left"/>
              <w:rPr>
                <w:rFonts w:ascii="Times New Roman" w:eastAsia="仿宋_GB2312" w:hAnsi="Times New Roman" w:cs="Times New Roman"/>
                <w:sz w:val="24"/>
                <w:szCs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D72FF3" w:rsidRDefault="00D72FF3">
            <w:pPr>
              <w:contextualSpacing/>
              <w:jc w:val="left"/>
              <w:rPr>
                <w:rFonts w:ascii="Times New Roman" w:eastAsia="仿宋_GB2312" w:hAnsi="Times New Roman" w:cs="Times New Roman"/>
                <w:sz w:val="24"/>
                <w:szCs w:val="24"/>
              </w:rPr>
            </w:pPr>
          </w:p>
        </w:tc>
      </w:tr>
      <w:tr w:rsidR="00D72FF3">
        <w:trPr>
          <w:jc w:val="center"/>
        </w:trPr>
        <w:tc>
          <w:tcPr>
            <w:tcW w:w="524" w:type="dxa"/>
            <w:tcBorders>
              <w:top w:val="single" w:sz="4" w:space="0" w:color="auto"/>
              <w:left w:val="single" w:sz="4" w:space="0" w:color="auto"/>
              <w:bottom w:val="single" w:sz="4" w:space="0" w:color="auto"/>
              <w:right w:val="single" w:sz="4" w:space="0" w:color="auto"/>
            </w:tcBorders>
            <w:vAlign w:val="center"/>
          </w:tcPr>
          <w:p w:rsidR="00D72FF3" w:rsidRDefault="003427C1">
            <w:pPr>
              <w:contextualSpacing/>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3879" w:type="dxa"/>
            <w:tcBorders>
              <w:top w:val="single" w:sz="4" w:space="0" w:color="auto"/>
              <w:left w:val="single" w:sz="4" w:space="0" w:color="auto"/>
              <w:bottom w:val="single" w:sz="4" w:space="0" w:color="auto"/>
              <w:right w:val="single" w:sz="4" w:space="0" w:color="auto"/>
            </w:tcBorders>
            <w:vAlign w:val="center"/>
          </w:tcPr>
          <w:p w:rsidR="00D72FF3" w:rsidRDefault="003427C1">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监管机构颁发的金融业务许可文件</w:t>
            </w:r>
          </w:p>
        </w:tc>
        <w:tc>
          <w:tcPr>
            <w:tcW w:w="1000" w:type="dxa"/>
            <w:tcBorders>
              <w:top w:val="single" w:sz="4" w:space="0" w:color="auto"/>
              <w:left w:val="single" w:sz="4" w:space="0" w:color="auto"/>
              <w:bottom w:val="single" w:sz="4" w:space="0" w:color="auto"/>
              <w:right w:val="single" w:sz="4" w:space="0" w:color="auto"/>
            </w:tcBorders>
            <w:vAlign w:val="center"/>
          </w:tcPr>
          <w:p w:rsidR="00D72FF3" w:rsidRDefault="003427C1">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加盖公章的复印件</w:t>
            </w:r>
          </w:p>
        </w:tc>
        <w:tc>
          <w:tcPr>
            <w:tcW w:w="559" w:type="dxa"/>
            <w:tcBorders>
              <w:top w:val="single" w:sz="4" w:space="0" w:color="auto"/>
              <w:left w:val="single" w:sz="4" w:space="0" w:color="auto"/>
              <w:bottom w:val="single" w:sz="4" w:space="0" w:color="auto"/>
              <w:right w:val="single" w:sz="4" w:space="0" w:color="auto"/>
            </w:tcBorders>
            <w:vAlign w:val="center"/>
          </w:tcPr>
          <w:p w:rsidR="00D72FF3" w:rsidRDefault="003427C1">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D72FF3" w:rsidRDefault="003427C1">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tcBorders>
              <w:top w:val="single" w:sz="4" w:space="0" w:color="auto"/>
              <w:left w:val="single" w:sz="4" w:space="0" w:color="auto"/>
              <w:bottom w:val="single" w:sz="4" w:space="0" w:color="auto"/>
              <w:right w:val="single" w:sz="4" w:space="0" w:color="auto"/>
            </w:tcBorders>
            <w:vAlign w:val="center"/>
          </w:tcPr>
          <w:p w:rsidR="00D72FF3" w:rsidRDefault="00D72FF3">
            <w:pPr>
              <w:contextualSpacing/>
              <w:jc w:val="left"/>
              <w:rPr>
                <w:rFonts w:ascii="Times New Roman" w:eastAsia="仿宋_GB2312" w:hAnsi="Times New Roman" w:cs="Times New Roman"/>
                <w:sz w:val="24"/>
                <w:szCs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D72FF3" w:rsidRDefault="00D72FF3">
            <w:pPr>
              <w:jc w:val="left"/>
              <w:rPr>
                <w:rFonts w:ascii="Times New Roman" w:eastAsia="仿宋_GB2312" w:hAnsi="Times New Roman" w:cs="Times New Roman"/>
                <w:sz w:val="24"/>
                <w:szCs w:val="24"/>
              </w:rPr>
            </w:pPr>
          </w:p>
        </w:tc>
      </w:tr>
      <w:tr w:rsidR="00D72FF3">
        <w:trPr>
          <w:jc w:val="center"/>
        </w:trPr>
        <w:tc>
          <w:tcPr>
            <w:tcW w:w="524" w:type="dxa"/>
            <w:tcBorders>
              <w:top w:val="single" w:sz="4" w:space="0" w:color="auto"/>
              <w:left w:val="single" w:sz="4" w:space="0" w:color="auto"/>
              <w:bottom w:val="single" w:sz="4" w:space="0" w:color="auto"/>
              <w:right w:val="single" w:sz="4" w:space="0" w:color="auto"/>
            </w:tcBorders>
            <w:vAlign w:val="center"/>
          </w:tcPr>
          <w:p w:rsidR="00D72FF3" w:rsidRDefault="003427C1">
            <w:pPr>
              <w:contextualSpacing/>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3879" w:type="dxa"/>
            <w:tcBorders>
              <w:top w:val="single" w:sz="4" w:space="0" w:color="auto"/>
              <w:left w:val="single" w:sz="4" w:space="0" w:color="auto"/>
              <w:bottom w:val="single" w:sz="4" w:space="0" w:color="auto"/>
              <w:right w:val="single" w:sz="4" w:space="0" w:color="auto"/>
            </w:tcBorders>
            <w:vAlign w:val="center"/>
          </w:tcPr>
          <w:p w:rsidR="00D72FF3" w:rsidRDefault="003427C1">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结售汇业务内部管理规章制度</w:t>
            </w:r>
          </w:p>
        </w:tc>
        <w:tc>
          <w:tcPr>
            <w:tcW w:w="1000" w:type="dxa"/>
            <w:tcBorders>
              <w:top w:val="single" w:sz="4" w:space="0" w:color="auto"/>
              <w:left w:val="single" w:sz="4" w:space="0" w:color="auto"/>
              <w:bottom w:val="single" w:sz="4" w:space="0" w:color="auto"/>
              <w:right w:val="single" w:sz="4" w:space="0" w:color="auto"/>
            </w:tcBorders>
            <w:vAlign w:val="center"/>
          </w:tcPr>
          <w:p w:rsidR="00D72FF3" w:rsidRDefault="003427C1">
            <w:pPr>
              <w:contextualSpacing/>
              <w:jc w:val="lef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原件或</w:t>
            </w:r>
            <w:r>
              <w:rPr>
                <w:rFonts w:ascii="Times New Roman" w:eastAsia="仿宋_GB2312" w:hAnsi="Times New Roman" w:cs="Times New Roman"/>
                <w:sz w:val="24"/>
                <w:szCs w:val="24"/>
              </w:rPr>
              <w:t>加盖公章的复印件</w:t>
            </w:r>
          </w:p>
        </w:tc>
        <w:tc>
          <w:tcPr>
            <w:tcW w:w="559" w:type="dxa"/>
            <w:tcBorders>
              <w:top w:val="single" w:sz="4" w:space="0" w:color="auto"/>
              <w:left w:val="single" w:sz="4" w:space="0" w:color="auto"/>
              <w:bottom w:val="single" w:sz="4" w:space="0" w:color="auto"/>
              <w:right w:val="single" w:sz="4" w:space="0" w:color="auto"/>
            </w:tcBorders>
            <w:vAlign w:val="center"/>
          </w:tcPr>
          <w:p w:rsidR="00D72FF3" w:rsidRDefault="003427C1">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D72FF3" w:rsidRDefault="003427C1">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tcBorders>
              <w:top w:val="single" w:sz="4" w:space="0" w:color="auto"/>
              <w:left w:val="single" w:sz="4" w:space="0" w:color="auto"/>
              <w:bottom w:val="single" w:sz="4" w:space="0" w:color="auto"/>
              <w:right w:val="single" w:sz="4" w:space="0" w:color="auto"/>
            </w:tcBorders>
            <w:vAlign w:val="center"/>
          </w:tcPr>
          <w:p w:rsidR="00D72FF3" w:rsidRDefault="00D72FF3">
            <w:pPr>
              <w:contextualSpacing/>
              <w:jc w:val="left"/>
              <w:rPr>
                <w:rFonts w:ascii="Times New Roman" w:eastAsia="仿宋_GB2312" w:hAnsi="Times New Roman" w:cs="Times New Roman"/>
                <w:sz w:val="24"/>
                <w:szCs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D72FF3" w:rsidRDefault="00D72FF3">
            <w:pPr>
              <w:jc w:val="left"/>
              <w:rPr>
                <w:rFonts w:ascii="Times New Roman" w:eastAsia="仿宋_GB2312" w:hAnsi="Times New Roman" w:cs="Times New Roman"/>
                <w:sz w:val="24"/>
                <w:szCs w:val="24"/>
              </w:rPr>
            </w:pPr>
          </w:p>
        </w:tc>
      </w:tr>
      <w:tr w:rsidR="00D72FF3">
        <w:trPr>
          <w:jc w:val="center"/>
        </w:trPr>
        <w:tc>
          <w:tcPr>
            <w:tcW w:w="524" w:type="dxa"/>
            <w:tcBorders>
              <w:top w:val="single" w:sz="4" w:space="0" w:color="auto"/>
              <w:left w:val="single" w:sz="4" w:space="0" w:color="auto"/>
              <w:bottom w:val="single" w:sz="4" w:space="0" w:color="auto"/>
              <w:right w:val="single" w:sz="4" w:space="0" w:color="auto"/>
            </w:tcBorders>
            <w:vAlign w:val="center"/>
          </w:tcPr>
          <w:p w:rsidR="00D72FF3" w:rsidRDefault="003427C1">
            <w:pPr>
              <w:contextualSpacing/>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3879" w:type="dxa"/>
            <w:tcBorders>
              <w:top w:val="single" w:sz="4" w:space="0" w:color="auto"/>
              <w:left w:val="single" w:sz="4" w:space="0" w:color="auto"/>
              <w:bottom w:val="single" w:sz="4" w:space="0" w:color="auto"/>
              <w:right w:val="single" w:sz="4" w:space="0" w:color="auto"/>
            </w:tcBorders>
            <w:vAlign w:val="center"/>
          </w:tcPr>
          <w:p w:rsidR="00D72FF3" w:rsidRDefault="003427C1">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具备办理结售汇业务所必需的软硬件设施的说明材料</w:t>
            </w:r>
          </w:p>
        </w:tc>
        <w:tc>
          <w:tcPr>
            <w:tcW w:w="1000" w:type="dxa"/>
            <w:tcBorders>
              <w:top w:val="single" w:sz="4" w:space="0" w:color="auto"/>
              <w:left w:val="single" w:sz="4" w:space="0" w:color="auto"/>
              <w:bottom w:val="single" w:sz="4" w:space="0" w:color="auto"/>
              <w:right w:val="single" w:sz="4" w:space="0" w:color="auto"/>
            </w:tcBorders>
            <w:vAlign w:val="center"/>
          </w:tcPr>
          <w:p w:rsidR="00D72FF3" w:rsidRDefault="003427C1">
            <w:pPr>
              <w:contextualSpacing/>
              <w:jc w:val="lef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原件或</w:t>
            </w:r>
            <w:r>
              <w:rPr>
                <w:rFonts w:ascii="Times New Roman" w:eastAsia="仿宋_GB2312" w:hAnsi="Times New Roman" w:cs="Times New Roman"/>
                <w:sz w:val="24"/>
                <w:szCs w:val="24"/>
              </w:rPr>
              <w:t>加盖公章的复印件</w:t>
            </w:r>
          </w:p>
        </w:tc>
        <w:tc>
          <w:tcPr>
            <w:tcW w:w="559" w:type="dxa"/>
            <w:tcBorders>
              <w:top w:val="single" w:sz="4" w:space="0" w:color="auto"/>
              <w:left w:val="single" w:sz="4" w:space="0" w:color="auto"/>
              <w:bottom w:val="single" w:sz="4" w:space="0" w:color="auto"/>
              <w:right w:val="single" w:sz="4" w:space="0" w:color="auto"/>
            </w:tcBorders>
            <w:vAlign w:val="center"/>
          </w:tcPr>
          <w:p w:rsidR="00D72FF3" w:rsidRDefault="003427C1">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D72FF3" w:rsidRDefault="003427C1">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tcBorders>
              <w:top w:val="single" w:sz="4" w:space="0" w:color="auto"/>
              <w:left w:val="single" w:sz="4" w:space="0" w:color="auto"/>
              <w:bottom w:val="single" w:sz="4" w:space="0" w:color="auto"/>
              <w:right w:val="single" w:sz="4" w:space="0" w:color="auto"/>
            </w:tcBorders>
            <w:vAlign w:val="center"/>
          </w:tcPr>
          <w:p w:rsidR="00D72FF3" w:rsidRDefault="00D72FF3">
            <w:pPr>
              <w:contextualSpacing/>
              <w:jc w:val="left"/>
              <w:rPr>
                <w:rFonts w:ascii="Times New Roman" w:eastAsia="仿宋_GB2312" w:hAnsi="Times New Roman" w:cs="Times New Roman"/>
                <w:sz w:val="24"/>
                <w:szCs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D72FF3" w:rsidRDefault="00D72FF3">
            <w:pPr>
              <w:jc w:val="left"/>
              <w:rPr>
                <w:rFonts w:ascii="Times New Roman" w:eastAsia="仿宋_GB2312" w:hAnsi="Times New Roman" w:cs="Times New Roman"/>
                <w:sz w:val="24"/>
                <w:szCs w:val="24"/>
              </w:rPr>
            </w:pPr>
          </w:p>
        </w:tc>
      </w:tr>
      <w:tr w:rsidR="00D72FF3">
        <w:trPr>
          <w:jc w:val="center"/>
        </w:trPr>
        <w:tc>
          <w:tcPr>
            <w:tcW w:w="524" w:type="dxa"/>
            <w:tcBorders>
              <w:top w:val="single" w:sz="4" w:space="0" w:color="auto"/>
              <w:left w:val="single" w:sz="4" w:space="0" w:color="auto"/>
              <w:bottom w:val="single" w:sz="4" w:space="0" w:color="auto"/>
              <w:right w:val="single" w:sz="4" w:space="0" w:color="auto"/>
            </w:tcBorders>
            <w:vAlign w:val="center"/>
          </w:tcPr>
          <w:p w:rsidR="00D72FF3" w:rsidRDefault="003427C1">
            <w:pPr>
              <w:contextualSpacing/>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5</w:t>
            </w:r>
          </w:p>
        </w:tc>
        <w:tc>
          <w:tcPr>
            <w:tcW w:w="3879" w:type="dxa"/>
            <w:tcBorders>
              <w:top w:val="single" w:sz="4" w:space="0" w:color="auto"/>
              <w:left w:val="single" w:sz="4" w:space="0" w:color="auto"/>
              <w:bottom w:val="single" w:sz="4" w:space="0" w:color="auto"/>
              <w:right w:val="single" w:sz="4" w:space="0" w:color="auto"/>
            </w:tcBorders>
            <w:vAlign w:val="center"/>
          </w:tcPr>
          <w:p w:rsidR="00D72FF3" w:rsidRDefault="003427C1">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拥有具备相应业务工作经验的高级管理人员和业务人员的说明材料</w:t>
            </w:r>
          </w:p>
        </w:tc>
        <w:tc>
          <w:tcPr>
            <w:tcW w:w="1000" w:type="dxa"/>
            <w:tcBorders>
              <w:top w:val="single" w:sz="4" w:space="0" w:color="auto"/>
              <w:left w:val="single" w:sz="4" w:space="0" w:color="auto"/>
              <w:bottom w:val="single" w:sz="4" w:space="0" w:color="auto"/>
              <w:right w:val="single" w:sz="4" w:space="0" w:color="auto"/>
            </w:tcBorders>
            <w:vAlign w:val="center"/>
          </w:tcPr>
          <w:p w:rsidR="00D72FF3" w:rsidRDefault="003427C1">
            <w:pPr>
              <w:contextualSpacing/>
              <w:jc w:val="lef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原件或</w:t>
            </w:r>
            <w:r>
              <w:rPr>
                <w:rFonts w:ascii="Times New Roman" w:eastAsia="仿宋_GB2312" w:hAnsi="Times New Roman" w:cs="Times New Roman"/>
                <w:sz w:val="24"/>
                <w:szCs w:val="24"/>
              </w:rPr>
              <w:t>加盖公章的复印件</w:t>
            </w:r>
          </w:p>
        </w:tc>
        <w:tc>
          <w:tcPr>
            <w:tcW w:w="559" w:type="dxa"/>
            <w:tcBorders>
              <w:top w:val="single" w:sz="4" w:space="0" w:color="auto"/>
              <w:left w:val="single" w:sz="4" w:space="0" w:color="auto"/>
              <w:bottom w:val="single" w:sz="4" w:space="0" w:color="auto"/>
              <w:right w:val="single" w:sz="4" w:space="0" w:color="auto"/>
            </w:tcBorders>
            <w:vAlign w:val="center"/>
          </w:tcPr>
          <w:p w:rsidR="00D72FF3" w:rsidRDefault="003427C1">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D72FF3" w:rsidRDefault="003427C1">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tcBorders>
              <w:top w:val="single" w:sz="4" w:space="0" w:color="auto"/>
              <w:left w:val="single" w:sz="4" w:space="0" w:color="auto"/>
              <w:bottom w:val="single" w:sz="4" w:space="0" w:color="auto"/>
              <w:right w:val="single" w:sz="4" w:space="0" w:color="auto"/>
            </w:tcBorders>
            <w:vAlign w:val="center"/>
          </w:tcPr>
          <w:p w:rsidR="00D72FF3" w:rsidRDefault="00D72FF3">
            <w:pPr>
              <w:contextualSpacing/>
              <w:jc w:val="left"/>
              <w:rPr>
                <w:rFonts w:ascii="Times New Roman" w:eastAsia="仿宋_GB2312" w:hAnsi="Times New Roman" w:cs="Times New Roman"/>
                <w:sz w:val="24"/>
                <w:szCs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D72FF3" w:rsidRDefault="00D72FF3">
            <w:pPr>
              <w:jc w:val="left"/>
              <w:rPr>
                <w:rFonts w:ascii="Times New Roman" w:eastAsia="仿宋_GB2312" w:hAnsi="Times New Roman" w:cs="Times New Roman"/>
                <w:sz w:val="24"/>
                <w:szCs w:val="24"/>
              </w:rPr>
            </w:pPr>
          </w:p>
        </w:tc>
      </w:tr>
      <w:tr w:rsidR="00D72FF3">
        <w:trPr>
          <w:jc w:val="center"/>
        </w:trPr>
        <w:tc>
          <w:tcPr>
            <w:tcW w:w="524" w:type="dxa"/>
            <w:tcBorders>
              <w:top w:val="single" w:sz="4" w:space="0" w:color="auto"/>
              <w:left w:val="single" w:sz="4" w:space="0" w:color="auto"/>
              <w:bottom w:val="single" w:sz="4" w:space="0" w:color="auto"/>
              <w:right w:val="single" w:sz="4" w:space="0" w:color="auto"/>
            </w:tcBorders>
            <w:vAlign w:val="center"/>
          </w:tcPr>
          <w:p w:rsidR="00D72FF3" w:rsidRDefault="003427C1">
            <w:pPr>
              <w:contextualSpacing/>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6</w:t>
            </w:r>
          </w:p>
        </w:tc>
        <w:tc>
          <w:tcPr>
            <w:tcW w:w="3879" w:type="dxa"/>
            <w:tcBorders>
              <w:top w:val="single" w:sz="4" w:space="0" w:color="auto"/>
              <w:left w:val="single" w:sz="4" w:space="0" w:color="auto"/>
              <w:bottom w:val="single" w:sz="4" w:space="0" w:color="auto"/>
              <w:right w:val="single" w:sz="4" w:space="0" w:color="auto"/>
            </w:tcBorders>
            <w:vAlign w:val="center"/>
          </w:tcPr>
          <w:p w:rsidR="00D72FF3" w:rsidRDefault="003427C1">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证券经营机构还需提交监管机构或其授权的行业管理组织许可或同意非银行金融机构开展结售汇业务的许可文件或证明文件、无异议材料等</w:t>
            </w:r>
          </w:p>
        </w:tc>
        <w:tc>
          <w:tcPr>
            <w:tcW w:w="1000" w:type="dxa"/>
            <w:tcBorders>
              <w:top w:val="single" w:sz="4" w:space="0" w:color="auto"/>
              <w:left w:val="single" w:sz="4" w:space="0" w:color="auto"/>
              <w:bottom w:val="single" w:sz="4" w:space="0" w:color="auto"/>
              <w:right w:val="single" w:sz="4" w:space="0" w:color="auto"/>
            </w:tcBorders>
            <w:vAlign w:val="center"/>
          </w:tcPr>
          <w:p w:rsidR="00D72FF3" w:rsidRDefault="003427C1">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加盖公章的复印件</w:t>
            </w:r>
          </w:p>
        </w:tc>
        <w:tc>
          <w:tcPr>
            <w:tcW w:w="559" w:type="dxa"/>
            <w:tcBorders>
              <w:top w:val="single" w:sz="4" w:space="0" w:color="auto"/>
              <w:left w:val="single" w:sz="4" w:space="0" w:color="auto"/>
              <w:bottom w:val="single" w:sz="4" w:space="0" w:color="auto"/>
              <w:right w:val="single" w:sz="4" w:space="0" w:color="auto"/>
            </w:tcBorders>
            <w:vAlign w:val="center"/>
          </w:tcPr>
          <w:p w:rsidR="00D72FF3" w:rsidRDefault="003427C1">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D72FF3" w:rsidRDefault="003427C1">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tcBorders>
              <w:top w:val="single" w:sz="4" w:space="0" w:color="auto"/>
              <w:left w:val="single" w:sz="4" w:space="0" w:color="auto"/>
              <w:bottom w:val="single" w:sz="4" w:space="0" w:color="auto"/>
              <w:right w:val="single" w:sz="4" w:space="0" w:color="auto"/>
            </w:tcBorders>
            <w:vAlign w:val="center"/>
          </w:tcPr>
          <w:p w:rsidR="00D72FF3" w:rsidRDefault="00D72FF3">
            <w:pPr>
              <w:contextualSpacing/>
              <w:jc w:val="left"/>
              <w:rPr>
                <w:rFonts w:ascii="Times New Roman" w:eastAsia="仿宋_GB2312" w:hAnsi="Times New Roman" w:cs="Times New Roman"/>
                <w:sz w:val="24"/>
                <w:szCs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D72FF3" w:rsidRDefault="00D72FF3">
            <w:pPr>
              <w:jc w:val="left"/>
              <w:rPr>
                <w:rFonts w:ascii="Times New Roman" w:eastAsia="仿宋_GB2312" w:hAnsi="Times New Roman" w:cs="Times New Roman"/>
                <w:sz w:val="24"/>
                <w:szCs w:val="24"/>
              </w:rPr>
            </w:pPr>
          </w:p>
        </w:tc>
      </w:tr>
      <w:tr w:rsidR="00D72FF3">
        <w:trPr>
          <w:jc w:val="center"/>
        </w:trPr>
        <w:tc>
          <w:tcPr>
            <w:tcW w:w="524" w:type="dxa"/>
            <w:tcBorders>
              <w:top w:val="single" w:sz="4" w:space="0" w:color="auto"/>
              <w:left w:val="single" w:sz="4" w:space="0" w:color="auto"/>
              <w:bottom w:val="single" w:sz="4" w:space="0" w:color="auto"/>
              <w:right w:val="single" w:sz="4" w:space="0" w:color="auto"/>
            </w:tcBorders>
            <w:vAlign w:val="center"/>
          </w:tcPr>
          <w:p w:rsidR="00D72FF3" w:rsidRDefault="003427C1">
            <w:pPr>
              <w:contextualSpacing/>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7</w:t>
            </w:r>
          </w:p>
        </w:tc>
        <w:tc>
          <w:tcPr>
            <w:tcW w:w="3879" w:type="dxa"/>
            <w:tcBorders>
              <w:top w:val="single" w:sz="4" w:space="0" w:color="auto"/>
              <w:left w:val="single" w:sz="4" w:space="0" w:color="auto"/>
              <w:bottom w:val="single" w:sz="4" w:space="0" w:color="auto"/>
              <w:right w:val="single" w:sz="4" w:space="0" w:color="auto"/>
            </w:tcBorders>
            <w:vAlign w:val="center"/>
          </w:tcPr>
          <w:p w:rsidR="00D72FF3" w:rsidRDefault="003427C1">
            <w:pPr>
              <w:contextualSpacing/>
              <w:jc w:val="left"/>
              <w:rPr>
                <w:rFonts w:ascii="Times New Roman" w:eastAsia="仿宋_GB2312" w:hAnsi="Times New Roman" w:cs="Times New Roman"/>
                <w:sz w:val="24"/>
                <w:szCs w:val="24"/>
              </w:rPr>
            </w:pPr>
            <w:r>
              <w:rPr>
                <w:rFonts w:ascii="Times New Roman" w:eastAsia="仿宋_GB2312" w:hAnsi="Times New Roman" w:cs="Times New Roman"/>
                <w:color w:val="000000"/>
                <w:sz w:val="24"/>
                <w:szCs w:val="24"/>
              </w:rPr>
              <w:t>非银行金融机构申请开展衍生产品业务的，还需提供主管人员和主要交易人员名单、履历，以及监管部门或其授权的行业管理部门许可其开展衍生产品业务的相关资格许可文件或证明文件、无异议材料等（如有）</w:t>
            </w:r>
          </w:p>
        </w:tc>
        <w:tc>
          <w:tcPr>
            <w:tcW w:w="1000" w:type="dxa"/>
            <w:tcBorders>
              <w:top w:val="single" w:sz="4" w:space="0" w:color="auto"/>
              <w:left w:val="single" w:sz="4" w:space="0" w:color="auto"/>
              <w:bottom w:val="single" w:sz="4" w:space="0" w:color="auto"/>
              <w:right w:val="single" w:sz="4" w:space="0" w:color="auto"/>
            </w:tcBorders>
            <w:vAlign w:val="center"/>
          </w:tcPr>
          <w:p w:rsidR="00D72FF3" w:rsidRDefault="003427C1">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加盖公章的复印件</w:t>
            </w:r>
          </w:p>
        </w:tc>
        <w:tc>
          <w:tcPr>
            <w:tcW w:w="559" w:type="dxa"/>
            <w:tcBorders>
              <w:top w:val="single" w:sz="4" w:space="0" w:color="auto"/>
              <w:left w:val="single" w:sz="4" w:space="0" w:color="auto"/>
              <w:bottom w:val="single" w:sz="4" w:space="0" w:color="auto"/>
              <w:right w:val="single" w:sz="4" w:space="0" w:color="auto"/>
            </w:tcBorders>
            <w:vAlign w:val="center"/>
          </w:tcPr>
          <w:p w:rsidR="00D72FF3" w:rsidRDefault="003427C1">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D72FF3" w:rsidRDefault="003427C1">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tcBorders>
              <w:top w:val="single" w:sz="4" w:space="0" w:color="auto"/>
              <w:left w:val="single" w:sz="4" w:space="0" w:color="auto"/>
              <w:bottom w:val="single" w:sz="4" w:space="0" w:color="auto"/>
              <w:right w:val="single" w:sz="4" w:space="0" w:color="auto"/>
            </w:tcBorders>
            <w:vAlign w:val="center"/>
          </w:tcPr>
          <w:p w:rsidR="00D72FF3" w:rsidRDefault="00D72FF3">
            <w:pPr>
              <w:contextualSpacing/>
              <w:jc w:val="left"/>
              <w:rPr>
                <w:rFonts w:ascii="Times New Roman" w:eastAsia="仿宋_GB2312" w:hAnsi="Times New Roman" w:cs="Times New Roman"/>
                <w:sz w:val="24"/>
                <w:szCs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D72FF3" w:rsidRDefault="00D72FF3">
            <w:pPr>
              <w:jc w:val="left"/>
              <w:rPr>
                <w:rFonts w:ascii="Times New Roman" w:eastAsia="仿宋_GB2312" w:hAnsi="Times New Roman" w:cs="Times New Roman"/>
                <w:sz w:val="24"/>
                <w:szCs w:val="24"/>
              </w:rPr>
            </w:pPr>
            <w:bookmarkStart w:id="0" w:name="_GoBack"/>
            <w:bookmarkEnd w:id="0"/>
          </w:p>
        </w:tc>
      </w:tr>
    </w:tbl>
    <w:p w:rsidR="00D72FF3" w:rsidRDefault="00D72FF3">
      <w:pPr>
        <w:rPr>
          <w:rFonts w:ascii="Times New Roman" w:eastAsia="黑体" w:hAnsi="Times New Roman" w:cs="Times New Roman"/>
          <w:sz w:val="30"/>
          <w:szCs w:val="30"/>
        </w:rPr>
      </w:pPr>
    </w:p>
    <w:p w:rsidR="00D72FF3" w:rsidRDefault="003427C1" w:rsidP="004B7DE5">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（七）申请接受</w:t>
      </w:r>
    </w:p>
    <w:p w:rsidR="00D72FF3" w:rsidRDefault="003427C1" w:rsidP="004B7DE5">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申请人可通过所在地外汇局向国家外汇管理局资本项目管理司提交材料。初审时，申请人可通过所在地外汇局业务窗口提交材料。</w:t>
      </w:r>
    </w:p>
    <w:p w:rsidR="00D72FF3" w:rsidRDefault="003427C1" w:rsidP="004B7DE5">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（八）基本办理流程</w:t>
      </w:r>
    </w:p>
    <w:p w:rsidR="00D72FF3" w:rsidRDefault="003427C1" w:rsidP="004B7DE5">
      <w:pPr>
        <w:tabs>
          <w:tab w:val="left" w:pos="615"/>
        </w:tabs>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申请人提交申请；</w:t>
      </w:r>
    </w:p>
    <w:p w:rsidR="00D72FF3" w:rsidRDefault="003427C1" w:rsidP="004B7DE5">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决定是否予以受理；</w:t>
      </w:r>
    </w:p>
    <w:p w:rsidR="00D72FF3" w:rsidRDefault="003427C1" w:rsidP="004B7DE5">
      <w:pPr>
        <w:adjustRightInd w:val="0"/>
        <w:snapToGrid w:val="0"/>
        <w:spacing w:line="360" w:lineRule="auto"/>
        <w:ind w:firstLine="600"/>
        <w:jc w:val="left"/>
        <w:outlineLvl w:val="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不予受理的，出具不予受理通知书；</w:t>
      </w:r>
    </w:p>
    <w:p w:rsidR="00D72FF3" w:rsidRDefault="003427C1" w:rsidP="004B7DE5">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材料不全或不符合法定形式的，一次性告知补正材料，并出具《行政审批补正材料通知书》；根据申请材料及补正情况，予以受理的，出具受理通知书，按程序进行审核；</w:t>
      </w:r>
    </w:p>
    <w:p w:rsidR="00D72FF3" w:rsidRDefault="003427C1" w:rsidP="004B7DE5">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不予许可的，出具不予许可通知书；许可的，向申请人出具相关业务办理凭证（包括业务登记凭证、核准文件、备案确认等）。</w:t>
      </w:r>
    </w:p>
    <w:p w:rsidR="00D72FF3" w:rsidRDefault="003427C1" w:rsidP="004B7DE5">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（九）办理方式</w:t>
      </w:r>
    </w:p>
    <w:p w:rsidR="00D72FF3" w:rsidRDefault="003427C1" w:rsidP="004B7DE5">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一般程序：申请、告知补正、受理、审核、办理登记或不予许可、出具相关业务办理凭证。初审的一般程序：申请、告知补正、受理、审核、上报初审结论。</w:t>
      </w:r>
    </w:p>
    <w:p w:rsidR="00D72FF3" w:rsidRDefault="003427C1" w:rsidP="004B7DE5">
      <w:pPr>
        <w:adjustRightInd w:val="0"/>
        <w:snapToGrid w:val="0"/>
        <w:spacing w:line="360" w:lineRule="auto"/>
        <w:ind w:firstLine="600"/>
        <w:jc w:val="left"/>
        <w:rPr>
          <w:rFonts w:ascii="Times New Roman" w:eastAsia="黑体" w:hAnsi="Times New Roman" w:cs="Times New Roman"/>
          <w:sz w:val="30"/>
          <w:szCs w:val="30"/>
        </w:rPr>
      </w:pPr>
      <w:r>
        <w:rPr>
          <w:rFonts w:ascii="Times New Roman" w:eastAsia="黑体" w:hAnsi="Times New Roman" w:cs="Times New Roman"/>
          <w:sz w:val="30"/>
          <w:szCs w:val="30"/>
        </w:rPr>
        <w:t>（十）审批时限</w:t>
      </w:r>
    </w:p>
    <w:p w:rsidR="00D72FF3" w:rsidRDefault="003427C1" w:rsidP="004B7DE5">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初审：申请人提交材料备齐备之日起初审</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个工作日。所在地国家外汇管理局分局（外汇管理部）受国家外汇管理局委托，对申请人相关软硬件设施进行实地检查并在相关要求和设施符合标准后，于</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个工作日内完成对国家外汇管理局上报初审意见。</w:t>
      </w:r>
    </w:p>
    <w:p w:rsidR="00D72FF3" w:rsidRDefault="003427C1" w:rsidP="004B7DE5">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国家外汇管理局收到外汇分局（外汇管理部）上报的初审材料，于</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个工作日内做出结售汇业务资格许可，并核定其结售汇综合头寸。</w:t>
      </w:r>
    </w:p>
    <w:p w:rsidR="00D72FF3" w:rsidRDefault="003427C1" w:rsidP="004B7DE5">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（十一）审批收费依据及标准</w:t>
      </w:r>
    </w:p>
    <w:p w:rsidR="00D72FF3" w:rsidRDefault="003427C1" w:rsidP="004B7DE5">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不收费。</w:t>
      </w:r>
    </w:p>
    <w:p w:rsidR="00D72FF3" w:rsidRDefault="003427C1" w:rsidP="004B7DE5">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（十二）审批结果</w:t>
      </w:r>
    </w:p>
    <w:p w:rsidR="00D72FF3" w:rsidRDefault="003427C1" w:rsidP="004B7DE5">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批复文件。</w:t>
      </w:r>
    </w:p>
    <w:p w:rsidR="00D72FF3" w:rsidRDefault="003427C1" w:rsidP="004B7DE5">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rPr>
        <w:t>初审意见上报国家外汇管理局。国家外汇管理局向初审外汇局批复后，由初审外汇局向申请人出具批复文件。</w:t>
      </w:r>
    </w:p>
    <w:p w:rsidR="00D72FF3" w:rsidRDefault="003427C1" w:rsidP="004B7DE5">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（十三）结果送达</w:t>
      </w:r>
    </w:p>
    <w:p w:rsidR="00D72FF3" w:rsidRDefault="003427C1" w:rsidP="004B7DE5">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国家外汇管理局通过发文回复初审外汇局（外汇管理部）。初审外汇局出具的批复文件通过现场告知或电话通知申请人，并通过现场领取或邮寄方式将结果送达。</w:t>
      </w:r>
    </w:p>
    <w:p w:rsidR="00D72FF3" w:rsidRDefault="003427C1" w:rsidP="004B7DE5">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（十四）申请人权利和义务</w:t>
      </w:r>
    </w:p>
    <w:p w:rsidR="00D72FF3" w:rsidRDefault="003427C1" w:rsidP="004B7DE5">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有权依法提出行政审批申请，依法进行投诉、举报、复议、诉讼等。申请人有义务保证申请材料完整、真实、准确，获批后合法合规办理相关业务，重要信息发生变更须及时向国家外汇管理局报备，全面、及时、准确进行国际收支申报、报送相关数据信息等。</w:t>
      </w:r>
    </w:p>
    <w:p w:rsidR="00D72FF3" w:rsidRDefault="003427C1" w:rsidP="004B7DE5">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（十五）咨询途径</w:t>
      </w:r>
    </w:p>
    <w:p w:rsidR="00D72FF3" w:rsidRDefault="003427C1" w:rsidP="004B7DE5">
      <w:pPr>
        <w:adjustRightInd w:val="0"/>
        <w:snapToGrid w:val="0"/>
        <w:spacing w:line="360" w:lineRule="auto"/>
        <w:ind w:firstLine="585"/>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咨询窗口：国家外汇管理局资本项目管理司</w:t>
      </w:r>
    </w:p>
    <w:p w:rsidR="00D72FF3" w:rsidRDefault="003427C1" w:rsidP="004B7DE5">
      <w:pPr>
        <w:adjustRightInd w:val="0"/>
        <w:snapToGrid w:val="0"/>
        <w:spacing w:line="360" w:lineRule="auto"/>
        <w:ind w:firstLine="585"/>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咨询电话：（</w:t>
      </w:r>
      <w:r>
        <w:rPr>
          <w:rFonts w:ascii="Times New Roman" w:eastAsia="仿宋_GB2312" w:hAnsi="Times New Roman" w:cs="Times New Roman"/>
          <w:sz w:val="30"/>
          <w:szCs w:val="30"/>
        </w:rPr>
        <w:t>010</w:t>
      </w:r>
      <w:r>
        <w:rPr>
          <w:rFonts w:ascii="Times New Roman" w:eastAsia="仿宋_GB2312" w:hAnsi="Times New Roman" w:cs="Times New Roman"/>
          <w:sz w:val="30"/>
          <w:szCs w:val="30"/>
        </w:rPr>
        <w:t>）</w:t>
      </w:r>
      <w:r>
        <w:rPr>
          <w:rFonts w:ascii="Times New Roman" w:eastAsia="仿宋_GB2312" w:hAnsi="Times New Roman" w:cs="Times New Roman"/>
          <w:sz w:val="30"/>
          <w:szCs w:val="30"/>
        </w:rPr>
        <w:t>68402347</w:t>
      </w:r>
    </w:p>
    <w:p w:rsidR="00D72FF3" w:rsidRDefault="003427C1" w:rsidP="004B7DE5">
      <w:pPr>
        <w:adjustRightInd w:val="0"/>
        <w:snapToGrid w:val="0"/>
        <w:spacing w:line="360" w:lineRule="auto"/>
        <w:ind w:firstLine="585"/>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咨询电子邮件：</w:t>
      </w:r>
      <w:hyperlink r:id="rId14" w:history="1">
        <w:r>
          <w:rPr>
            <w:rFonts w:ascii="Times New Roman" w:eastAsia="仿宋_GB2312" w:hAnsi="Times New Roman" w:cs="Times New Roman"/>
            <w:sz w:val="30"/>
            <w:szCs w:val="30"/>
          </w:rPr>
          <w:t>zb-sc@mail.safe.gov.cn</w:t>
        </w:r>
      </w:hyperlink>
    </w:p>
    <w:p w:rsidR="00D72FF3" w:rsidRDefault="003427C1" w:rsidP="004B7DE5">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咨询信件邮寄地址：北京市</w:t>
      </w:r>
      <w:r w:rsidR="00EB7308">
        <w:rPr>
          <w:rFonts w:ascii="Times New Roman" w:eastAsia="仿宋_GB2312" w:hAnsi="Times New Roman" w:cs="Times New Roman" w:hint="eastAsia"/>
          <w:sz w:val="30"/>
          <w:szCs w:val="30"/>
        </w:rPr>
        <w:t>西城区金融大街</w:t>
      </w:r>
      <w:r w:rsidR="00EB7308">
        <w:rPr>
          <w:rFonts w:ascii="Times New Roman" w:eastAsia="仿宋_GB2312" w:hAnsi="Times New Roman" w:cs="Times New Roman" w:hint="eastAsia"/>
          <w:sz w:val="30"/>
          <w:szCs w:val="30"/>
        </w:rPr>
        <w:t>30</w:t>
      </w:r>
      <w:r w:rsidR="00EB7308">
        <w:rPr>
          <w:rFonts w:ascii="Times New Roman" w:eastAsia="仿宋_GB2312" w:hAnsi="Times New Roman" w:cs="Times New Roman" w:hint="eastAsia"/>
          <w:sz w:val="30"/>
          <w:szCs w:val="30"/>
        </w:rPr>
        <w:t>号院</w:t>
      </w:r>
      <w:r>
        <w:rPr>
          <w:rFonts w:ascii="Times New Roman" w:eastAsia="仿宋_GB2312" w:hAnsi="Times New Roman" w:cs="Times New Roman"/>
          <w:sz w:val="30"/>
          <w:szCs w:val="30"/>
        </w:rPr>
        <w:t>资本项目管理司，邮政编码</w:t>
      </w:r>
      <w:r>
        <w:rPr>
          <w:rFonts w:ascii="Times New Roman" w:eastAsia="仿宋_GB2312" w:hAnsi="Times New Roman" w:cs="Times New Roman"/>
          <w:sz w:val="30"/>
          <w:szCs w:val="30"/>
        </w:rPr>
        <w:t>1000</w:t>
      </w:r>
      <w:r w:rsidR="00EB7308">
        <w:rPr>
          <w:rFonts w:ascii="Times New Roman" w:eastAsia="仿宋_GB2312" w:hAnsi="Times New Roman" w:cs="Times New Roman" w:hint="eastAsia"/>
          <w:sz w:val="30"/>
          <w:szCs w:val="30"/>
        </w:rPr>
        <w:t>00</w:t>
      </w:r>
      <w:r>
        <w:rPr>
          <w:rFonts w:ascii="Times New Roman" w:eastAsia="仿宋_GB2312" w:hAnsi="Times New Roman" w:cs="Times New Roman"/>
          <w:sz w:val="30"/>
          <w:szCs w:val="30"/>
        </w:rPr>
        <w:t>。</w:t>
      </w:r>
    </w:p>
    <w:p w:rsidR="00D72FF3" w:rsidRDefault="003427C1" w:rsidP="004B7DE5">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初审业务的咨询途径由所在地分局（外汇管理部）另行公布。</w:t>
      </w:r>
    </w:p>
    <w:p w:rsidR="00D72FF3" w:rsidRDefault="003427C1" w:rsidP="004B7DE5">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（十六）监督和投诉渠道</w:t>
      </w:r>
    </w:p>
    <w:p w:rsidR="00D72FF3" w:rsidRDefault="003427C1" w:rsidP="004B7DE5">
      <w:pPr>
        <w:adjustRightInd w:val="0"/>
        <w:snapToGrid w:val="0"/>
        <w:spacing w:line="360" w:lineRule="auto"/>
        <w:ind w:firstLine="601"/>
        <w:rPr>
          <w:rFonts w:ascii="Times New Roman" w:eastAsia="仿宋_GB2312" w:hAnsi="Times New Roman" w:cs="Times New Roman"/>
          <w:sz w:val="30"/>
          <w:szCs w:val="30"/>
          <w:highlight w:val="yellow"/>
        </w:rPr>
      </w:pPr>
      <w:r>
        <w:rPr>
          <w:rFonts w:ascii="Times New Roman" w:eastAsia="仿宋_GB2312" w:hAnsi="Times New Roman" w:cs="Times New Roman"/>
          <w:sz w:val="30"/>
          <w:szCs w:val="30"/>
        </w:rPr>
        <w:t>向国家外汇管理局咨询、监督投诉、公开查询等可通过国家外汇管理局官方互联网站公众交流栏目进行，网址为</w:t>
      </w:r>
      <w:hyperlink r:id="rId15" w:history="1">
        <w:r>
          <w:rPr>
            <w:rStyle w:val="aa"/>
            <w:rFonts w:ascii="Times New Roman" w:eastAsia="仿宋_GB2312" w:hAnsi="Times New Roman" w:cs="Times New Roman"/>
            <w:color w:val="auto"/>
            <w:sz w:val="30"/>
            <w:szCs w:val="30"/>
          </w:rPr>
          <w:t>www.safe.gov.cn</w:t>
        </w:r>
      </w:hyperlink>
      <w:r>
        <w:rPr>
          <w:rFonts w:ascii="Times New Roman" w:eastAsia="仿宋_GB2312" w:hAnsi="Times New Roman" w:cs="Times New Roman"/>
          <w:sz w:val="30"/>
          <w:szCs w:val="30"/>
        </w:rPr>
        <w:t>。</w:t>
      </w:r>
    </w:p>
    <w:p w:rsidR="00D72FF3" w:rsidRDefault="003427C1" w:rsidP="004B7DE5">
      <w:pPr>
        <w:adjustRightInd w:val="0"/>
        <w:snapToGrid w:val="0"/>
        <w:spacing w:line="360" w:lineRule="auto"/>
        <w:ind w:firstLine="601"/>
        <w:rPr>
          <w:rFonts w:ascii="Times New Roman" w:eastAsia="仿宋_GB2312" w:hAnsi="Times New Roman" w:cs="Times New Roman"/>
          <w:sz w:val="30"/>
          <w:szCs w:val="30"/>
          <w:highlight w:val="yellow"/>
        </w:rPr>
      </w:pPr>
      <w:r>
        <w:rPr>
          <w:rFonts w:ascii="Times New Roman" w:eastAsia="仿宋_GB2312" w:hAnsi="Times New Roman" w:cs="Times New Roman"/>
          <w:sz w:val="30"/>
          <w:szCs w:val="30"/>
        </w:rPr>
        <w:t>向各地外汇局进行咨询、办理进程查询、监督和投诉等可通过各地外汇局官方网站的相应栏目进行。网址可通过</w:t>
      </w:r>
      <w:hyperlink r:id="rId16" w:history="1">
        <w:r>
          <w:rPr>
            <w:rStyle w:val="aa"/>
            <w:rFonts w:ascii="Times New Roman" w:eastAsia="仿宋_GB2312" w:hAnsi="Times New Roman" w:cs="Times New Roman"/>
            <w:color w:val="auto"/>
            <w:sz w:val="30"/>
            <w:szCs w:val="30"/>
          </w:rPr>
          <w:t>www.safe.gov.cn</w:t>
        </w:r>
      </w:hyperlink>
      <w:r>
        <w:rPr>
          <w:rFonts w:ascii="Times New Roman" w:eastAsia="仿宋_GB2312" w:hAnsi="Times New Roman" w:cs="Times New Roman"/>
          <w:sz w:val="30"/>
          <w:szCs w:val="30"/>
        </w:rPr>
        <w:t>进行链接，也可通过外汇局官方互联网站上公布的电话进行。</w:t>
      </w:r>
    </w:p>
    <w:p w:rsidR="00D72FF3" w:rsidRDefault="003427C1" w:rsidP="004B7DE5">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（十七）办公地址和时间</w:t>
      </w:r>
    </w:p>
    <w:p w:rsidR="00D72FF3" w:rsidRDefault="003427C1" w:rsidP="004B7DE5">
      <w:pPr>
        <w:adjustRightInd w:val="0"/>
        <w:snapToGrid w:val="0"/>
        <w:spacing w:line="360" w:lineRule="auto"/>
        <w:ind w:firstLine="585"/>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办公地址。北京市</w:t>
      </w:r>
      <w:r w:rsidR="00A22502">
        <w:rPr>
          <w:rFonts w:ascii="Times New Roman" w:eastAsia="仿宋_GB2312" w:hAnsi="Times New Roman" w:cs="Times New Roman" w:hint="eastAsia"/>
          <w:sz w:val="30"/>
          <w:szCs w:val="30"/>
        </w:rPr>
        <w:t>西城区金融大街</w:t>
      </w:r>
      <w:r w:rsidR="00A22502">
        <w:rPr>
          <w:rFonts w:ascii="Times New Roman" w:eastAsia="仿宋_GB2312" w:hAnsi="Times New Roman" w:cs="Times New Roman" w:hint="eastAsia"/>
          <w:sz w:val="30"/>
          <w:szCs w:val="30"/>
        </w:rPr>
        <w:t>30</w:t>
      </w:r>
      <w:r w:rsidR="00A22502">
        <w:rPr>
          <w:rFonts w:ascii="Times New Roman" w:eastAsia="仿宋_GB2312" w:hAnsi="Times New Roman" w:cs="Times New Roman" w:hint="eastAsia"/>
          <w:sz w:val="30"/>
          <w:szCs w:val="30"/>
        </w:rPr>
        <w:t>号院</w:t>
      </w:r>
      <w:r>
        <w:rPr>
          <w:rFonts w:ascii="Times New Roman" w:eastAsia="仿宋_GB2312" w:hAnsi="Times New Roman" w:cs="Times New Roman"/>
          <w:sz w:val="30"/>
          <w:szCs w:val="30"/>
        </w:rPr>
        <w:t>，邮政编码</w:t>
      </w:r>
      <w:r>
        <w:rPr>
          <w:rFonts w:ascii="Times New Roman" w:eastAsia="仿宋_GB2312" w:hAnsi="Times New Roman" w:cs="Times New Roman"/>
          <w:sz w:val="30"/>
          <w:szCs w:val="30"/>
        </w:rPr>
        <w:t>1000</w:t>
      </w:r>
      <w:r w:rsidR="00C84001">
        <w:rPr>
          <w:rFonts w:ascii="Times New Roman" w:eastAsia="仿宋_GB2312" w:hAnsi="Times New Roman" w:cs="Times New Roman" w:hint="eastAsia"/>
          <w:sz w:val="30"/>
          <w:szCs w:val="30"/>
        </w:rPr>
        <w:t>00</w:t>
      </w:r>
      <w:r>
        <w:rPr>
          <w:rFonts w:ascii="Times New Roman" w:eastAsia="仿宋_GB2312" w:hAnsi="Times New Roman" w:cs="Times New Roman"/>
          <w:sz w:val="30"/>
          <w:szCs w:val="30"/>
        </w:rPr>
        <w:t>。</w:t>
      </w:r>
    </w:p>
    <w:p w:rsidR="00D72FF3" w:rsidRDefault="003427C1" w:rsidP="004B7DE5">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办公时间。周一至周五工作日的</w:t>
      </w:r>
      <w:r>
        <w:rPr>
          <w:rFonts w:ascii="Times New Roman" w:eastAsia="仿宋_GB2312" w:hAnsi="Times New Roman" w:cs="Times New Roman"/>
          <w:sz w:val="30"/>
          <w:szCs w:val="30"/>
        </w:rPr>
        <w:t>8:00-12</w:t>
      </w:r>
      <w:r>
        <w:rPr>
          <w:rFonts w:ascii="Times New Roman" w:eastAsia="仿宋_GB2312" w:hAnsi="Times New Roman" w:cs="Times New Roman"/>
          <w:sz w:val="30"/>
          <w:szCs w:val="30"/>
        </w:rPr>
        <w:t>：</w:t>
      </w:r>
      <w:r>
        <w:rPr>
          <w:rFonts w:ascii="Times New Roman" w:eastAsia="仿宋_GB2312" w:hAnsi="Times New Roman" w:cs="Times New Roman"/>
          <w:sz w:val="30"/>
          <w:szCs w:val="30"/>
        </w:rPr>
        <w:t>00</w:t>
      </w:r>
      <w:r>
        <w:rPr>
          <w:rFonts w:ascii="Times New Roman" w:eastAsia="仿宋_GB2312" w:hAnsi="Times New Roman" w:cs="Times New Roman"/>
          <w:sz w:val="30"/>
          <w:szCs w:val="30"/>
        </w:rPr>
        <w:t>，</w:t>
      </w:r>
      <w:r>
        <w:rPr>
          <w:rFonts w:ascii="Times New Roman" w:eastAsia="仿宋_GB2312" w:hAnsi="Times New Roman" w:cs="Times New Roman"/>
          <w:sz w:val="30"/>
          <w:szCs w:val="30"/>
        </w:rPr>
        <w:t>13</w:t>
      </w:r>
      <w:r>
        <w:rPr>
          <w:rFonts w:ascii="Times New Roman" w:eastAsia="仿宋_GB2312" w:hAnsi="Times New Roman" w:cs="Times New Roman"/>
          <w:sz w:val="30"/>
          <w:szCs w:val="30"/>
        </w:rPr>
        <w:t>：</w:t>
      </w:r>
      <w:r>
        <w:rPr>
          <w:rFonts w:ascii="Times New Roman" w:eastAsia="仿宋_GB2312" w:hAnsi="Times New Roman" w:cs="Times New Roman"/>
          <w:sz w:val="30"/>
          <w:szCs w:val="30"/>
        </w:rPr>
        <w:t>00-17</w:t>
      </w:r>
      <w:r>
        <w:rPr>
          <w:rFonts w:ascii="Times New Roman" w:eastAsia="仿宋_GB2312" w:hAnsi="Times New Roman" w:cs="Times New Roman"/>
          <w:sz w:val="30"/>
          <w:szCs w:val="30"/>
        </w:rPr>
        <w:t>：</w:t>
      </w:r>
      <w:r>
        <w:rPr>
          <w:rFonts w:ascii="Times New Roman" w:eastAsia="仿宋_GB2312" w:hAnsi="Times New Roman" w:cs="Times New Roman"/>
          <w:sz w:val="30"/>
          <w:szCs w:val="30"/>
        </w:rPr>
        <w:t>00</w:t>
      </w:r>
    </w:p>
    <w:p w:rsidR="00D72FF3" w:rsidRDefault="00304520" w:rsidP="004B7DE5">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3</w:t>
      </w:r>
      <w:r w:rsidR="003427C1">
        <w:rPr>
          <w:rFonts w:ascii="Times New Roman" w:eastAsia="仿宋_GB2312" w:hAnsi="Times New Roman" w:cs="Times New Roman"/>
          <w:sz w:val="30"/>
          <w:szCs w:val="30"/>
        </w:rPr>
        <w:t>.</w:t>
      </w:r>
      <w:r w:rsidR="003427C1">
        <w:rPr>
          <w:rFonts w:ascii="Times New Roman" w:eastAsia="仿宋_GB2312" w:hAnsi="Times New Roman" w:cs="Times New Roman"/>
          <w:sz w:val="30"/>
          <w:szCs w:val="30"/>
        </w:rPr>
        <w:t>初审业务的办公地址和时间由所在地分局（外汇管理部）另行公布。</w:t>
      </w:r>
    </w:p>
    <w:p w:rsidR="00D72FF3" w:rsidRDefault="003427C1" w:rsidP="004B7DE5">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（十八）公开查询</w:t>
      </w:r>
    </w:p>
    <w:p w:rsidR="00D72FF3" w:rsidRDefault="003427C1" w:rsidP="004B7DE5">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办理时限结束之日后，申请人可通过电话查询。初审业务的公开查询方式由所在地分局（外汇管理部）另行公布。</w:t>
      </w:r>
    </w:p>
    <w:p w:rsidR="0035502A" w:rsidRDefault="0035502A" w:rsidP="004B7DE5">
      <w:pPr>
        <w:adjustRightInd w:val="0"/>
        <w:snapToGrid w:val="0"/>
        <w:spacing w:line="360" w:lineRule="auto"/>
        <w:ind w:firstLine="600"/>
        <w:rPr>
          <w:rFonts w:ascii="Times New Roman" w:eastAsia="黑体" w:hAnsi="Times New Roman" w:cs="Times New Roman"/>
          <w:sz w:val="30"/>
          <w:szCs w:val="30"/>
        </w:rPr>
      </w:pPr>
      <w:r w:rsidRPr="0035502A">
        <w:rPr>
          <w:rFonts w:ascii="Times New Roman" w:eastAsia="黑体" w:hAnsi="Times New Roman" w:cs="Times New Roman" w:hint="eastAsia"/>
          <w:sz w:val="30"/>
          <w:szCs w:val="30"/>
        </w:rPr>
        <w:t>（十九）</w:t>
      </w:r>
      <w:r>
        <w:rPr>
          <w:rFonts w:ascii="Times New Roman" w:eastAsia="黑体" w:hAnsi="Times New Roman" w:cs="Times New Roman" w:hint="eastAsia"/>
          <w:sz w:val="30"/>
          <w:szCs w:val="30"/>
        </w:rPr>
        <w:t>上海市分局业务咨询途径、监督和投诉、办公地址和时间、公开查询方式</w:t>
      </w:r>
    </w:p>
    <w:p w:rsidR="0035502A" w:rsidRDefault="0035502A" w:rsidP="004B7DE5">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hint="eastAsia"/>
          <w:sz w:val="30"/>
          <w:szCs w:val="30"/>
        </w:rPr>
        <w:t>咨询电话：</w:t>
      </w:r>
      <w:r>
        <w:rPr>
          <w:rFonts w:ascii="Times New Roman" w:eastAsia="仿宋_GB2312" w:hAnsi="Times New Roman" w:cs="Times New Roman"/>
          <w:sz w:val="30"/>
          <w:szCs w:val="30"/>
        </w:rPr>
        <w:t>021-58845943</w:t>
      </w:r>
      <w:r>
        <w:rPr>
          <w:rFonts w:ascii="Times New Roman" w:eastAsia="仿宋_GB2312" w:hAnsi="Times New Roman" w:cs="Times New Roman" w:hint="eastAsia"/>
          <w:sz w:val="30"/>
          <w:szCs w:val="30"/>
        </w:rPr>
        <w:t>；</w:t>
      </w:r>
    </w:p>
    <w:p w:rsidR="0035502A" w:rsidRDefault="0035502A" w:rsidP="004B7DE5">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hint="eastAsia"/>
          <w:sz w:val="30"/>
          <w:szCs w:val="30"/>
        </w:rPr>
        <w:t>监督和投诉：国家外汇管理局上海市分局官方网站：</w:t>
      </w:r>
      <w:r>
        <w:rPr>
          <w:rFonts w:ascii="Times New Roman" w:eastAsia="仿宋_GB2312" w:hAnsi="Times New Roman" w:cs="Times New Roman"/>
          <w:sz w:val="30"/>
          <w:szCs w:val="30"/>
        </w:rPr>
        <w:t>www.safe.gov.cn/shanghai/</w:t>
      </w:r>
      <w:r>
        <w:rPr>
          <w:rFonts w:ascii="Times New Roman" w:eastAsia="仿宋_GB2312" w:hAnsi="Times New Roman" w:cs="Times New Roman" w:hint="eastAsia"/>
          <w:sz w:val="30"/>
          <w:szCs w:val="30"/>
        </w:rPr>
        <w:t>；</w:t>
      </w:r>
    </w:p>
    <w:p w:rsidR="0035502A" w:rsidRDefault="0035502A" w:rsidP="004B7DE5">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hint="eastAsia"/>
          <w:sz w:val="30"/>
          <w:szCs w:val="30"/>
        </w:rPr>
        <w:t>办公地址：上海市</w:t>
      </w:r>
      <w:r w:rsidR="004F5FDF">
        <w:rPr>
          <w:rFonts w:ascii="Times New Roman" w:eastAsia="仿宋_GB2312" w:hAnsi="Times New Roman" w:cs="Times New Roman" w:hint="eastAsia"/>
          <w:sz w:val="30"/>
          <w:szCs w:val="30"/>
        </w:rPr>
        <w:t>浦东新区</w:t>
      </w:r>
      <w:r>
        <w:rPr>
          <w:rFonts w:ascii="Times New Roman" w:eastAsia="仿宋_GB2312" w:hAnsi="Times New Roman" w:cs="Times New Roman" w:hint="eastAsia"/>
          <w:sz w:val="30"/>
          <w:szCs w:val="30"/>
        </w:rPr>
        <w:t>陆家嘴东路</w:t>
      </w:r>
      <w:r>
        <w:rPr>
          <w:rFonts w:ascii="Times New Roman" w:eastAsia="仿宋_GB2312" w:hAnsi="Times New Roman" w:cs="Times New Roman"/>
          <w:sz w:val="30"/>
          <w:szCs w:val="30"/>
        </w:rPr>
        <w:t>181</w:t>
      </w:r>
      <w:r>
        <w:rPr>
          <w:rFonts w:ascii="Times New Roman" w:eastAsia="仿宋_GB2312" w:hAnsi="Times New Roman" w:cs="Times New Roman" w:hint="eastAsia"/>
          <w:sz w:val="30"/>
          <w:szCs w:val="30"/>
        </w:rPr>
        <w:t>号</w:t>
      </w:r>
      <w:r w:rsidR="004F5FDF">
        <w:rPr>
          <w:rFonts w:ascii="Times New Roman" w:eastAsia="仿宋_GB2312" w:hAnsi="Times New Roman" w:cs="Times New Roman" w:hint="eastAsia"/>
          <w:sz w:val="30"/>
          <w:szCs w:val="30"/>
        </w:rPr>
        <w:t>910</w:t>
      </w:r>
      <w:r w:rsidR="004F5FDF">
        <w:rPr>
          <w:rFonts w:ascii="Times New Roman" w:eastAsia="仿宋_GB2312" w:hAnsi="Times New Roman" w:cs="Times New Roman" w:hint="eastAsia"/>
          <w:sz w:val="30"/>
          <w:szCs w:val="30"/>
        </w:rPr>
        <w:t>室</w:t>
      </w:r>
      <w:r>
        <w:rPr>
          <w:rFonts w:ascii="Times New Roman" w:eastAsia="仿宋_GB2312" w:hAnsi="Times New Roman" w:cs="Times New Roman" w:hint="eastAsia"/>
          <w:sz w:val="30"/>
          <w:szCs w:val="30"/>
        </w:rPr>
        <w:t>；</w:t>
      </w:r>
    </w:p>
    <w:p w:rsidR="0035502A" w:rsidRDefault="0035502A" w:rsidP="004B7DE5">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hint="eastAsia"/>
          <w:sz w:val="30"/>
          <w:szCs w:val="30"/>
        </w:rPr>
        <w:t>办公时间：</w:t>
      </w:r>
      <w:r w:rsidR="00CD750E">
        <w:rPr>
          <w:rFonts w:ascii="Times New Roman" w:eastAsia="仿宋_GB2312" w:hAnsi="Times New Roman" w:cs="Times New Roman" w:hint="eastAsia"/>
          <w:sz w:val="30"/>
          <w:szCs w:val="30"/>
        </w:rPr>
        <w:t>工作日的</w:t>
      </w:r>
      <w:r>
        <w:rPr>
          <w:rFonts w:ascii="Times New Roman" w:eastAsia="仿宋_GB2312" w:hAnsi="Times New Roman" w:cs="Times New Roman"/>
          <w:sz w:val="30"/>
          <w:szCs w:val="30"/>
        </w:rPr>
        <w:t>9:00-11:30, 13:30-1</w:t>
      </w:r>
      <w:r w:rsidR="00416A45">
        <w:rPr>
          <w:rFonts w:ascii="Times New Roman" w:eastAsia="仿宋_GB2312" w:hAnsi="Times New Roman" w:cs="Times New Roman" w:hint="eastAsia"/>
          <w:sz w:val="30"/>
          <w:szCs w:val="30"/>
        </w:rPr>
        <w:t>7:00</w:t>
      </w:r>
      <w:r>
        <w:rPr>
          <w:rFonts w:ascii="Times New Roman" w:eastAsia="仿宋_GB2312" w:hAnsi="Times New Roman" w:cs="Times New Roman" w:hint="eastAsia"/>
          <w:sz w:val="30"/>
          <w:szCs w:val="30"/>
        </w:rPr>
        <w:t>；</w:t>
      </w:r>
    </w:p>
    <w:p w:rsidR="0035502A" w:rsidRDefault="0035502A" w:rsidP="004B7DE5">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hint="eastAsia"/>
          <w:sz w:val="30"/>
          <w:szCs w:val="30"/>
        </w:rPr>
        <w:t>公开查询方式：国家外汇管理局上海市分局官方网站：</w:t>
      </w:r>
      <w:r>
        <w:rPr>
          <w:rFonts w:ascii="Times New Roman" w:eastAsia="仿宋_GB2312" w:hAnsi="Times New Roman" w:cs="Times New Roman"/>
          <w:sz w:val="30"/>
          <w:szCs w:val="30"/>
        </w:rPr>
        <w:t>www.safe.gov.cn/shanghai/</w:t>
      </w:r>
    </w:p>
    <w:p w:rsidR="0035502A" w:rsidRPr="0035502A" w:rsidRDefault="0035502A">
      <w:pPr>
        <w:adjustRightInd w:val="0"/>
        <w:snapToGrid w:val="0"/>
        <w:spacing w:line="360" w:lineRule="auto"/>
        <w:ind w:firstLine="600"/>
        <w:rPr>
          <w:rFonts w:ascii="Times New Roman" w:eastAsia="仿宋_GB2312" w:hAnsi="Times New Roman" w:cs="Times New Roman"/>
          <w:sz w:val="30"/>
          <w:szCs w:val="30"/>
        </w:rPr>
      </w:pPr>
    </w:p>
    <w:p w:rsidR="00D72FF3" w:rsidRDefault="003427C1">
      <w:pPr>
        <w:adjustRightInd w:val="0"/>
        <w:snapToGrid w:val="0"/>
        <w:spacing w:line="360" w:lineRule="auto"/>
        <w:rPr>
          <w:rFonts w:ascii="Times New Roman" w:eastAsia="仿宋_GB2312" w:hAnsi="Times New Roman" w:cs="Times New Roman"/>
          <w:sz w:val="30"/>
          <w:szCs w:val="30"/>
        </w:rPr>
      </w:pPr>
      <w:r>
        <w:rPr>
          <w:rFonts w:ascii="Times New Roman" w:hAnsi="Times New Roman" w:cs="Times New Roman"/>
        </w:rPr>
        <w:br w:type="page"/>
      </w:r>
      <w:r>
        <w:rPr>
          <w:rFonts w:ascii="Times New Roman" w:eastAsia="仿宋_GB2312" w:hAnsi="Times New Roman" w:cs="Times New Roman"/>
          <w:sz w:val="30"/>
          <w:szCs w:val="30"/>
        </w:rPr>
        <w:t>附录一</w:t>
      </w:r>
    </w:p>
    <w:p w:rsidR="00D72FF3" w:rsidRDefault="007044DB">
      <w:pPr>
        <w:ind w:right="300"/>
        <w:jc w:val="center"/>
        <w:rPr>
          <w:rFonts w:ascii="Times New Roman" w:eastAsia="黑体" w:hAnsi="Times New Roman" w:cs="Times New Roman"/>
          <w:sz w:val="30"/>
          <w:szCs w:val="30"/>
        </w:rPr>
      </w:pPr>
      <w:r>
        <w:rPr>
          <w:rFonts w:ascii="Times New Roman" w:eastAsia="黑体" w:hAnsi="Times New Roman" w:cs="Times New Roman"/>
          <w:sz w:val="30"/>
          <w:szCs w:val="30"/>
        </w:rPr>
        <w:pict>
          <v:group id="组合 1026" o:spid="_x0000_s1027" style="position:absolute;left:0;text-align:left;margin-left:-41.25pt;margin-top:27.05pt;width:470.35pt;height:681.4pt;z-index:1" coordorigin="1425,1526" coordsize="9407,13628">
            <v:shapetype id="_x0000_t32" coordsize="21600,21600" o:spt="32" o:oned="t" path="m,l21600,21600e" filled="f">
              <v:path arrowok="t" fillok="f" o:connecttype="none"/>
              <o:lock v:ext="edit" shapetype="t"/>
            </v:shapetype>
            <v:shape id="AutoShape 3" o:spid="_x0000_s1028" type="#_x0000_t32" style="position:absolute;left:6601;top:11865;width:1;height:715" o:preferrelative="t">
              <v:stroke miterlimit="2"/>
            </v:shape>
            <v:group id="组合 1028" o:spid="_x0000_s1029" style="position:absolute;left:1425;top:1526;width:9407;height:13628" coordorigin="1425,1526" coordsize="9407,13628">
              <v:shape id="AutoShape 5" o:spid="_x0000_s1030" type="#_x0000_t32" style="position:absolute;left:9019;top:12580;width:17;height:627" o:preferrelative="t">
                <v:stroke endarrow="block" miterlimit="2"/>
              </v:shape>
              <v:shape id="AutoShape 6" o:spid="_x0000_s1031" type="#_x0000_t32" style="position:absolute;left:4049;top:12580;width:4987;height:0" o:preferrelative="t">
                <v:stroke miterlimit="2"/>
              </v:shape>
              <v:group id="组合 1031" o:spid="_x0000_s1032" style="position:absolute;left:1425;top:1526;width:9407;height:13628" coordorigin="1425,1526" coordsize="9407,13628">
                <v:rect id="Rectangle 8" o:spid="_x0000_s1033" style="position:absolute;left:5093;top:11586;width:2985;height:534" o:preferrelative="t">
                  <v:stroke miterlimit="2"/>
                  <v:textbox>
                    <w:txbxContent>
                      <w:p w:rsidR="00D72FF3" w:rsidRDefault="003427C1">
                        <w:pPr>
                          <w:jc w:val="center"/>
                        </w:pPr>
                        <w:r>
                          <w:rPr>
                            <w:rFonts w:hint="eastAsia"/>
                          </w:rPr>
                          <w:t>国家外汇管理局审核</w:t>
                        </w:r>
                      </w:p>
                    </w:txbxContent>
                  </v:textbox>
                </v:rect>
                <v:group id="组合 1033" o:spid="_x0000_s1034" style="position:absolute;left:1425;top:1526;width:9407;height:13628" coordorigin="1425,1526" coordsize="9407,13628">
                  <v:shapetype id="_x0000_t116" coordsize="21600,21600" o:spt="116" path="m3475,qx,10800,3475,21600l18125,21600qx21600,10800,18125,xe">
                    <v:stroke joinstyle="miter"/>
                    <v:path gradientshapeok="t" o:connecttype="rect" textboxrect="1018,3163,20582,18437"/>
                  </v:shapetype>
                  <v:shape id="AutoShape 10" o:spid="_x0000_s1035" type="#_x0000_t116" style="position:absolute;left:7715;top:13147;width:3117;height:1329" o:preferrelative="t">
                    <v:stroke miterlimit="2"/>
                    <v:textbox>
                      <w:txbxContent>
                        <w:p w:rsidR="00D72FF3" w:rsidRDefault="003427C1">
                          <w:pPr>
                            <w:jc w:val="center"/>
                          </w:pPr>
                          <w:r>
                            <w:rPr>
                              <w:rFonts w:hint="eastAsia"/>
                            </w:rPr>
                            <w:t>依法作出不予许可决定，</w:t>
                          </w:r>
                        </w:p>
                        <w:p w:rsidR="00D72FF3" w:rsidRDefault="003427C1">
                          <w:pPr>
                            <w:jc w:val="center"/>
                          </w:pPr>
                          <w:r>
                            <w:rPr>
                              <w:rFonts w:hint="eastAsia"/>
                            </w:rPr>
                            <w:t>并送达</w:t>
                          </w:r>
                        </w:p>
                      </w:txbxContent>
                    </v:textbox>
                  </v:shape>
                  <v:shape id="AutoShape 11" o:spid="_x0000_s1036" type="#_x0000_t116" style="position:absolute;left:2070;top:14476;width:4791;height:678" o:preferrelative="t">
                    <v:stroke miterlimit="2"/>
                    <v:textbox>
                      <w:txbxContent>
                        <w:p w:rsidR="00D72FF3" w:rsidRDefault="003427C1">
                          <w:pPr>
                            <w:jc w:val="center"/>
                          </w:pPr>
                          <w:r>
                            <w:rPr>
                              <w:rFonts w:hint="eastAsia"/>
                            </w:rPr>
                            <w:t>初审外汇局出具批复文件，并送达</w:t>
                          </w:r>
                        </w:p>
                      </w:txbxContent>
                    </v:textbox>
                  </v:shape>
                  <v:shape id="AutoShape 12" o:spid="_x0000_s1037" type="#_x0000_t32" style="position:absolute;left:4035;top:12580;width:0;height:567" o:preferrelative="t">
                    <v:stroke endarrow="block" miterlimit="2"/>
                  </v:shape>
                  <v:rect id="Rectangle 13" o:spid="_x0000_s1038" style="position:absolute;left:1934;top:13147;width:4666;height:859" o:preferrelative="t">
                    <v:stroke miterlimit="2"/>
                    <v:textbox>
                      <w:txbxContent>
                        <w:p w:rsidR="00D72FF3" w:rsidRDefault="003427C1">
                          <w:pPr>
                            <w:jc w:val="center"/>
                          </w:pPr>
                          <w:r>
                            <w:rPr>
                              <w:rFonts w:hint="eastAsia"/>
                            </w:rPr>
                            <w:t>依法予以许可，</w:t>
                          </w:r>
                        </w:p>
                        <w:p w:rsidR="00D72FF3" w:rsidRDefault="003427C1">
                          <w:pPr>
                            <w:jc w:val="center"/>
                          </w:pPr>
                          <w:r>
                            <w:rPr>
                              <w:rFonts w:hint="eastAsia"/>
                            </w:rPr>
                            <w:t>为初审外汇局出具批复文件</w:t>
                          </w:r>
                        </w:p>
                      </w:txbxContent>
                    </v:textbox>
                  </v:rect>
                  <v:shape id="AutoShape 14" o:spid="_x0000_s1039" type="#_x0000_t32" style="position:absolute;left:4049;top:14006;width:0;height:470" o:preferrelative="t">
                    <v:stroke endarrow="block" miterlimit="2"/>
                  </v:shape>
                  <v:shape id="AutoShape 15" o:spid="_x0000_s1040" type="#_x0000_t32" style="position:absolute;left:6647;top:10960;width:1;height:626" o:preferrelative="t">
                    <v:stroke endarrow="block" miterlimit="2"/>
                  </v:shape>
                  <v:group id="组合 1040" o:spid="_x0000_s1041" style="position:absolute;left:1425;top:1526;width:9131;height:11606" coordorigin="1425,1526" coordsize="9131,11606">
                    <v:shape id="AutoShape 17" o:spid="_x0000_s1042" type="#_x0000_t32" style="position:absolute;left:6600;top:8677;width:1;height:764" o:preferrelative="t">
                      <v:stroke endarrow="block" miterlimit="2"/>
                    </v:shape>
                    <v:shape id="AutoShape 18" o:spid="_x0000_s1043" type="#_x0000_t116" style="position:absolute;left:1920;top:1526;width:3738;height:703" o:preferrelative="t">
                      <v:stroke miterlimit="2"/>
                      <v:textbox>
                        <w:txbxContent>
                          <w:p w:rsidR="00D72FF3" w:rsidRDefault="003427C1">
                            <w:pPr>
                              <w:jc w:val="center"/>
                            </w:pPr>
                            <w:r>
                              <w:rPr>
                                <w:rFonts w:hint="eastAsia"/>
                              </w:rPr>
                              <w:t>申请人提出书面申请，并提交材料</w:t>
                            </w:r>
                          </w:p>
                        </w:txbxContent>
                      </v:textbox>
                    </v:shape>
                    <v:group id="组合 1043" o:spid="_x0000_s1044" style="position:absolute;left:1425;top:2261;width:9131;height:6416" coordorigin="1425,2301" coordsize="9131,6416">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0" o:spid="_x0000_s1045" type="#_x0000_t34" style="position:absolute;left:8018;top:4171;width:3790;height:1285;rotation:270" o:preferrelative="t" adj="45">
                        <v:stroke miterlimit="2"/>
                      </v:shape>
                      <v:group id="组合 1045" o:spid="_x0000_s1046" style="position:absolute;left:1425;top:2301;width:9131;height:6416" coordorigin="1446,3821" coordsize="9131,6416">
                        <v:shape id="AutoShape 22" o:spid="_x0000_s1047" type="#_x0000_t32" style="position:absolute;left:7549;top:7016;width:0;height:378" o:preferrelative="t">
                          <v:stroke endarrow="block" miterlimit="2"/>
                        </v:shape>
                        <v:shapetype id="_x0000_t4" coordsize="21600,21600" o:spt="4" path="m10800,l,10800,10800,21600,21600,10800xe">
                          <v:stroke joinstyle="miter"/>
                          <v:path gradientshapeok="t" o:connecttype="rect" textboxrect="5400,5400,16200,16200"/>
                        </v:shapetype>
                        <v:shape id="AutoShape 23" o:spid="_x0000_s1048" type="#_x0000_t4" style="position:absolute;left:5812;top:7377;width:3480;height:1733" o:preferrelative="t">
                          <v:stroke miterlimit="2"/>
                          <v:textbox>
                            <w:txbxContent>
                              <w:p w:rsidR="00D72FF3" w:rsidRDefault="003427C1">
                                <w:pPr>
                                  <w:jc w:val="center"/>
                                </w:pPr>
                                <w:r>
                                  <w:rPr>
                                    <w:rFonts w:hint="eastAsia"/>
                                  </w:rPr>
                                  <w:t>申请人补充材料</w:t>
                                </w:r>
                              </w:p>
                            </w:txbxContent>
                          </v:textbox>
                        </v:shape>
                        <v:shape id="AutoShape 24" o:spid="_x0000_s1049" type="#_x0000_t32" style="position:absolute;left:3011;top:9967;width:1213;height:1" o:preferrelative="t">
                          <v:stroke endarrow="block" miterlimit="2"/>
                        </v:shape>
                        <v:shape id="AutoShape 25" o:spid="_x0000_s1050" type="#_x0000_t32" style="position:absolute;left:3011;top:6530;width:1;height:3437" o:preferrelative="t">
                          <v:stroke miterlimit="2"/>
                        </v:shape>
                        <v:shapetype id="_x0000_t202" coordsize="21600,21600" o:spt="202" path="m,l,21600r21600,l21600,xe">
                          <v:stroke joinstyle="miter"/>
                          <v:path gradientshapeok="t" o:connecttype="rect"/>
                        </v:shapetype>
                        <v:shape id="Text Box 26" o:spid="_x0000_s1051" type="#_x0000_t202" style="position:absolute;left:2253;top:7824;width:508;height:1152" o:preferrelative="t" strokecolor="white">
                          <v:stroke miterlimit="2"/>
                          <v:textbox>
                            <w:txbxContent>
                              <w:p w:rsidR="00D72FF3" w:rsidRDefault="003427C1">
                                <w:r>
                                  <w:rPr>
                                    <w:rFonts w:hint="eastAsia"/>
                                  </w:rPr>
                                  <w:t>是</w:t>
                                </w:r>
                              </w:p>
                            </w:txbxContent>
                          </v:textbox>
                        </v:shape>
                        <v:shape id="AutoShape 27" o:spid="_x0000_s1052" type="#_x0000_t32" style="position:absolute;left:7549;top:9110;width:0;height:608" o:preferrelative="t">
                          <v:stroke endarrow="block" miterlimit="2"/>
                        </v:shape>
                        <v:shape id="Text Box 28" o:spid="_x0000_s1053" type="#_x0000_t202" style="position:absolute;left:4429;top:9110;width:2737;height:477" o:preferrelative="t" strokecolor="white">
                          <v:stroke miterlimit="2"/>
                          <v:textbox>
                            <w:txbxContent>
                              <w:p w:rsidR="00D72FF3" w:rsidRDefault="003427C1">
                                <w:pPr>
                                  <w:jc w:val="center"/>
                                </w:pPr>
                                <w:r>
                                  <w:rPr>
                                    <w:rFonts w:hint="eastAsia"/>
                                  </w:rPr>
                                  <w:t>材料齐全并符合受理要求</w:t>
                                </w:r>
                              </w:p>
                            </w:txbxContent>
                          </v:textbox>
                        </v:shape>
                        <v:rect id="Rectangle 29" o:spid="_x0000_s1054" style="position:absolute;left:4224;top:9718;width:5359;height:519" o:preferrelative="t">
                          <v:stroke miterlimit="2"/>
                          <v:textbox>
                            <w:txbxContent>
                              <w:p w:rsidR="00D72FF3" w:rsidRDefault="003427C1">
                                <w:pPr>
                                  <w:jc w:val="center"/>
                                </w:pPr>
                                <w:r>
                                  <w:rPr>
                                    <w:rFonts w:hint="eastAsia"/>
                                  </w:rPr>
                                  <w:t>依法应予受理，出具行政审批受理单</w:t>
                                </w:r>
                              </w:p>
                              <w:p w:rsidR="00D72FF3" w:rsidRDefault="00D72FF3"/>
                            </w:txbxContent>
                          </v:textbox>
                        </v:rect>
                        <v:shape id="AutoShape 30" o:spid="_x0000_s1055" type="#_x0000_t32" style="position:absolute;left:4668;top:5550;width:990;height:0" o:preferrelative="t">
                          <v:stroke miterlimit="2"/>
                        </v:shape>
                        <v:shape id="AutoShape 31" o:spid="_x0000_s1056" type="#_x0000_t32" style="position:absolute;left:5658;top:4533;width:0;height:1921" o:preferrelative="t">
                          <v:stroke miterlimit="2"/>
                        </v:shape>
                        <v:shape id="AutoShape 32" o:spid="_x0000_s1057" type="#_x0000_t4" style="position:absolute;left:1446;top:4484;width:3195;height:2131" o:preferrelative="t">
                          <v:stroke miterlimit="2"/>
                          <v:textbox>
                            <w:txbxContent>
                              <w:p w:rsidR="00D72FF3" w:rsidRDefault="003427C1">
                                <w:pPr>
                                  <w:jc w:val="center"/>
                                </w:pPr>
                                <w:r>
                                  <w:rPr>
                                    <w:rFonts w:hint="eastAsia"/>
                                  </w:rPr>
                                  <w:t>接件（</w:t>
                                </w:r>
                                <w:r>
                                  <w:rPr>
                                    <w:rFonts w:hint="eastAsia"/>
                                  </w:rPr>
                                  <w:t>5</w:t>
                                </w:r>
                                <w:r>
                                  <w:rPr>
                                    <w:rFonts w:hint="eastAsia"/>
                                  </w:rPr>
                                  <w:t>个工作日）作出是否受理决定</w:t>
                                </w:r>
                              </w:p>
                            </w:txbxContent>
                          </v:textbox>
                        </v:shape>
                        <v:shape id="AutoShape 33" o:spid="_x0000_s1058" type="#_x0000_t32" style="position:absolute;left:5686;top:6453;width:564;height:1" o:preferrelative="t">
                          <v:stroke endarrow="block" miterlimit="2"/>
                        </v:shape>
                        <v:shape id="AutoShape 34" o:spid="_x0000_s1059" type="#_x0000_t32" style="position:absolute;left:5658;top:4533;width:564;height:0" o:preferrelative="t">
                          <v:stroke endarrow="block" miterlimit="2"/>
                        </v:shape>
                        <v:rect id="Rectangle 35" o:spid="_x0000_s1060" style="position:absolute;left:6222;top:5885;width:3190;height:1114" o:preferrelative="t">
                          <v:stroke miterlimit="2"/>
                          <v:textbox>
                            <w:txbxContent>
                              <w:p w:rsidR="00D72FF3" w:rsidRDefault="003427C1">
                                <w:pPr>
                                  <w:jc w:val="center"/>
                                </w:pPr>
                                <w:r>
                                  <w:rPr>
                                    <w:rFonts w:hint="eastAsia"/>
                                  </w:rPr>
                                  <w:t>材料不全或不符合法定形式的，一次性告知补正材料，</w:t>
                                </w:r>
                              </w:p>
                              <w:p w:rsidR="00D72FF3" w:rsidRDefault="003427C1">
                                <w:pPr>
                                  <w:jc w:val="center"/>
                                </w:pPr>
                                <w:r>
                                  <w:rPr>
                                    <w:rFonts w:hint="eastAsia"/>
                                  </w:rPr>
                                  <w:t>出具行政审批补正材料通知书</w:t>
                                </w:r>
                              </w:p>
                              <w:p w:rsidR="00D72FF3" w:rsidRDefault="00D72FF3"/>
                            </w:txbxContent>
                          </v:textbox>
                        </v:rect>
                        <v:shape id="AutoShape 36" o:spid="_x0000_s1061" type="#_x0000_t116" style="position:absolute;left:6282;top:3821;width:2919;height:1483" o:preferrelative="t">
                          <v:stroke miterlimit="2"/>
                          <v:textbox>
                            <w:txbxContent>
                              <w:p w:rsidR="00D72FF3" w:rsidRDefault="003427C1">
                                <w:pPr>
                                  <w:jc w:val="center"/>
                                </w:pPr>
                                <w:r>
                                  <w:rPr>
                                    <w:rFonts w:hint="eastAsia"/>
                                  </w:rPr>
                                  <w:t>依法不予受理的，作出不予受理决定，出具不予受理行政审批申请通知书</w:t>
                                </w:r>
                              </w:p>
                              <w:p w:rsidR="00D72FF3" w:rsidRDefault="00D72FF3">
                                <w:pPr>
                                  <w:jc w:val="center"/>
                                </w:pPr>
                              </w:p>
                            </w:txbxContent>
                          </v:textbox>
                        </v:shape>
                        <v:shape id="Text Box 37" o:spid="_x0000_s1062" type="#_x0000_t202" style="position:absolute;left:4834;top:4762;width:508;height:471" o:preferrelative="t" strokecolor="white">
                          <v:stroke miterlimit="2"/>
                          <v:textbox style="mso-fit-shape-to-text:t">
                            <w:txbxContent>
                              <w:p w:rsidR="00D72FF3" w:rsidRDefault="003427C1">
                                <w:r>
                                  <w:rPr>
                                    <w:rFonts w:hint="eastAsia"/>
                                  </w:rPr>
                                  <w:t>否</w:t>
                                </w:r>
                              </w:p>
                            </w:txbxContent>
                          </v:textbox>
                        </v:shape>
                        <v:shape id="Text Box 38" o:spid="_x0000_s1063" type="#_x0000_t202" style="position:absolute;left:9583;top:4841;width:823;height:2553" o:preferrelative="t" strokecolor="white">
                          <v:stroke miterlimit="2"/>
                          <v:textbox>
                            <w:txbxContent>
                              <w:p w:rsidR="00D72FF3" w:rsidRDefault="003427C1">
                                <w:pPr>
                                  <w:jc w:val="center"/>
                                </w:pPr>
                                <w:r>
                                  <w:rPr>
                                    <w:rFonts w:hint="eastAsia"/>
                                  </w:rPr>
                                  <w:t>不能提供符合受理要求的</w:t>
                                </w:r>
                              </w:p>
                              <w:p w:rsidR="00D72FF3" w:rsidRDefault="003427C1">
                                <w:pPr>
                                  <w:jc w:val="center"/>
                                </w:pPr>
                                <w:r>
                                  <w:rPr>
                                    <w:rFonts w:hint="eastAsia"/>
                                  </w:rPr>
                                  <w:t>材料</w:t>
                                </w:r>
                              </w:p>
                            </w:txbxContent>
                          </v:textbox>
                        </v:shape>
                        <v:shape id="AutoShape 39" o:spid="_x0000_s1064" type="#_x0000_t32" style="position:absolute;left:9231;top:4464;width:1346;height:20;flip:x" o:preferrelative="t">
                          <v:stroke endarrow="block" miterlimit="2"/>
                        </v:shape>
                      </v:group>
                    </v:group>
                    <v:shape id="AutoShape 40" o:spid="_x0000_s1065" type="#_x0000_t32" style="position:absolute;left:3011;top:2229;width:1;height:695;flip:x" o:preferrelative="t">
                      <v:stroke endarrow="block" miterlimit="2"/>
                    </v:shape>
                    <v:shape id="AutoShape 41" o:spid="_x0000_s1066" type="#_x0000_t4" style="position:absolute;left:3450;top:8996;width:6375;height:2160" o:preferrelative="t">
                      <v:stroke miterlimit="2"/>
                      <v:textbox>
                        <w:txbxContent>
                          <w:p w:rsidR="00D72FF3" w:rsidRDefault="003427C1">
                            <w:r>
                              <w:rPr>
                                <w:rFonts w:hint="eastAsia"/>
                              </w:rPr>
                              <w:t>申请人所在地外汇分局（外汇管理部）根据申请材料和软硬件基础设施情况，作出初审意见</w:t>
                            </w:r>
                          </w:p>
                        </w:txbxContent>
                      </v:textbox>
                    </v:shape>
                    <v:shape id="Text Box 42" o:spid="_x0000_s1067" type="#_x0000_t202" style="position:absolute;left:5093;top:10960;width:812;height:472" o:preferrelative="t" strokecolor="white">
                      <v:stroke miterlimit="2"/>
                      <v:textbox>
                        <w:txbxContent>
                          <w:p w:rsidR="00D72FF3" w:rsidRDefault="003427C1">
                            <w:r>
                              <w:rPr>
                                <w:rFonts w:hint="eastAsia"/>
                              </w:rPr>
                              <w:t>同意</w:t>
                            </w:r>
                          </w:p>
                        </w:txbxContent>
                      </v:textbox>
                    </v:shape>
                    <v:shape id="Text Box 43" o:spid="_x0000_s1068" type="#_x0000_t202" style="position:absolute;left:8520;top:10848;width:1042;height:584" o:preferrelative="t" strokecolor="white">
                      <v:stroke miterlimit="2"/>
                      <v:textbox>
                        <w:txbxContent>
                          <w:p w:rsidR="00D72FF3" w:rsidRDefault="003427C1">
                            <w:r>
                              <w:rPr>
                                <w:rFonts w:hint="eastAsia"/>
                              </w:rPr>
                              <w:t>不同意</w:t>
                            </w:r>
                          </w:p>
                        </w:txbxContent>
                      </v:textbox>
                    </v:shape>
                    <v:shape id="AutoShape 44" o:spid="_x0000_s1069" type="#_x0000_t32" style="position:absolute;left:9825;top:10105;width:0;height:3027" o:preferrelative="t">
                      <v:stroke endarrow="block" miterlimit="2"/>
                    </v:shape>
                  </v:group>
                </v:group>
              </v:group>
            </v:group>
          </v:group>
        </w:pict>
      </w:r>
      <w:r w:rsidR="003427C1">
        <w:rPr>
          <w:rFonts w:ascii="Times New Roman" w:eastAsia="黑体" w:hAnsi="Times New Roman" w:cs="Times New Roman"/>
          <w:sz w:val="30"/>
          <w:szCs w:val="30"/>
        </w:rPr>
        <w:t>基本流程图</w:t>
      </w:r>
    </w:p>
    <w:p w:rsidR="00D72FF3" w:rsidRDefault="00D72FF3">
      <w:pPr>
        <w:ind w:right="300"/>
        <w:jc w:val="center"/>
        <w:rPr>
          <w:rFonts w:ascii="Times New Roman" w:eastAsia="黑体" w:hAnsi="Times New Roman" w:cs="Times New Roman"/>
          <w:sz w:val="30"/>
          <w:szCs w:val="30"/>
        </w:rPr>
      </w:pPr>
    </w:p>
    <w:p w:rsidR="00D72FF3" w:rsidRDefault="00D72FF3">
      <w:pPr>
        <w:ind w:right="300"/>
        <w:jc w:val="center"/>
        <w:rPr>
          <w:rFonts w:ascii="Times New Roman" w:eastAsia="黑体" w:hAnsi="Times New Roman" w:cs="Times New Roman"/>
          <w:sz w:val="30"/>
          <w:szCs w:val="30"/>
        </w:rPr>
      </w:pPr>
    </w:p>
    <w:p w:rsidR="00D72FF3" w:rsidRDefault="00D72FF3">
      <w:pPr>
        <w:ind w:right="300"/>
        <w:jc w:val="center"/>
        <w:rPr>
          <w:rFonts w:ascii="Times New Roman" w:eastAsia="黑体" w:hAnsi="Times New Roman" w:cs="Times New Roman"/>
          <w:sz w:val="30"/>
          <w:szCs w:val="30"/>
        </w:rPr>
      </w:pPr>
    </w:p>
    <w:p w:rsidR="00D72FF3" w:rsidRDefault="00D72FF3">
      <w:pPr>
        <w:ind w:right="300"/>
        <w:jc w:val="center"/>
        <w:rPr>
          <w:rFonts w:ascii="Times New Roman" w:eastAsia="黑体" w:hAnsi="Times New Roman" w:cs="Times New Roman"/>
          <w:sz w:val="30"/>
          <w:szCs w:val="30"/>
        </w:rPr>
      </w:pPr>
    </w:p>
    <w:p w:rsidR="00D72FF3" w:rsidRDefault="00D72FF3">
      <w:pPr>
        <w:ind w:right="300"/>
        <w:jc w:val="center"/>
        <w:rPr>
          <w:rFonts w:ascii="Times New Roman" w:eastAsia="仿宋_GB2312" w:hAnsi="Times New Roman" w:cs="Times New Roman"/>
          <w:sz w:val="30"/>
          <w:szCs w:val="30"/>
        </w:rPr>
      </w:pPr>
    </w:p>
    <w:p w:rsidR="00D72FF3" w:rsidRDefault="00D72FF3">
      <w:pPr>
        <w:ind w:right="300"/>
        <w:jc w:val="center"/>
        <w:rPr>
          <w:rFonts w:ascii="Times New Roman" w:eastAsia="仿宋_GB2312" w:hAnsi="Times New Roman" w:cs="Times New Roman"/>
          <w:sz w:val="30"/>
          <w:szCs w:val="30"/>
        </w:rPr>
      </w:pPr>
    </w:p>
    <w:p w:rsidR="00D72FF3" w:rsidRDefault="00D72FF3">
      <w:pPr>
        <w:ind w:right="300"/>
        <w:jc w:val="center"/>
        <w:rPr>
          <w:rFonts w:ascii="Times New Roman" w:eastAsia="仿宋_GB2312" w:hAnsi="Times New Roman" w:cs="Times New Roman"/>
          <w:sz w:val="30"/>
          <w:szCs w:val="30"/>
        </w:rPr>
      </w:pPr>
    </w:p>
    <w:p w:rsidR="00D72FF3" w:rsidRDefault="00D72FF3">
      <w:pPr>
        <w:ind w:right="300"/>
        <w:jc w:val="center"/>
        <w:rPr>
          <w:rFonts w:ascii="Times New Roman" w:eastAsia="仿宋_GB2312" w:hAnsi="Times New Roman" w:cs="Times New Roman"/>
          <w:sz w:val="30"/>
          <w:szCs w:val="30"/>
        </w:rPr>
      </w:pPr>
    </w:p>
    <w:p w:rsidR="00D72FF3" w:rsidRDefault="00D72FF3">
      <w:pPr>
        <w:ind w:right="300"/>
        <w:jc w:val="center"/>
        <w:rPr>
          <w:rFonts w:ascii="Times New Roman" w:eastAsia="仿宋_GB2312" w:hAnsi="Times New Roman" w:cs="Times New Roman"/>
          <w:sz w:val="30"/>
          <w:szCs w:val="30"/>
        </w:rPr>
      </w:pPr>
    </w:p>
    <w:p w:rsidR="00D72FF3" w:rsidRDefault="00D72FF3">
      <w:pPr>
        <w:ind w:right="300"/>
        <w:jc w:val="center"/>
        <w:rPr>
          <w:rFonts w:ascii="Times New Roman" w:eastAsia="仿宋_GB2312" w:hAnsi="Times New Roman" w:cs="Times New Roman"/>
          <w:sz w:val="30"/>
          <w:szCs w:val="30"/>
        </w:rPr>
      </w:pPr>
    </w:p>
    <w:p w:rsidR="00D72FF3" w:rsidRDefault="00D72FF3">
      <w:pPr>
        <w:ind w:right="300"/>
        <w:jc w:val="center"/>
        <w:rPr>
          <w:rFonts w:ascii="Times New Roman" w:eastAsia="仿宋_GB2312" w:hAnsi="Times New Roman" w:cs="Times New Roman"/>
          <w:sz w:val="30"/>
          <w:szCs w:val="30"/>
        </w:rPr>
      </w:pPr>
    </w:p>
    <w:p w:rsidR="00D72FF3" w:rsidRDefault="00D72FF3">
      <w:pPr>
        <w:ind w:right="300"/>
        <w:jc w:val="center"/>
        <w:rPr>
          <w:rFonts w:ascii="Times New Roman" w:eastAsia="仿宋_GB2312" w:hAnsi="Times New Roman" w:cs="Times New Roman"/>
          <w:sz w:val="30"/>
          <w:szCs w:val="30"/>
        </w:rPr>
      </w:pPr>
    </w:p>
    <w:p w:rsidR="00D72FF3" w:rsidRDefault="00D72FF3">
      <w:pPr>
        <w:ind w:right="300"/>
        <w:jc w:val="center"/>
        <w:rPr>
          <w:rFonts w:ascii="Times New Roman" w:eastAsia="仿宋_GB2312" w:hAnsi="Times New Roman" w:cs="Times New Roman"/>
          <w:sz w:val="30"/>
          <w:szCs w:val="30"/>
        </w:rPr>
      </w:pPr>
    </w:p>
    <w:p w:rsidR="00D72FF3" w:rsidRDefault="00D72FF3">
      <w:pPr>
        <w:ind w:right="300"/>
        <w:jc w:val="center"/>
        <w:rPr>
          <w:rFonts w:ascii="Times New Roman" w:eastAsia="仿宋_GB2312" w:hAnsi="Times New Roman" w:cs="Times New Roman"/>
          <w:sz w:val="30"/>
          <w:szCs w:val="30"/>
        </w:rPr>
      </w:pPr>
    </w:p>
    <w:p w:rsidR="00D72FF3" w:rsidRDefault="00D72FF3">
      <w:pPr>
        <w:ind w:right="300"/>
        <w:jc w:val="center"/>
        <w:rPr>
          <w:rFonts w:ascii="Times New Roman" w:eastAsia="仿宋_GB2312" w:hAnsi="Times New Roman" w:cs="Times New Roman"/>
          <w:sz w:val="30"/>
          <w:szCs w:val="30"/>
        </w:rPr>
      </w:pPr>
    </w:p>
    <w:p w:rsidR="00D72FF3" w:rsidRDefault="00D72FF3">
      <w:pPr>
        <w:ind w:right="300"/>
        <w:jc w:val="center"/>
        <w:rPr>
          <w:rFonts w:ascii="Times New Roman" w:eastAsia="仿宋_GB2312" w:hAnsi="Times New Roman" w:cs="Times New Roman"/>
          <w:sz w:val="30"/>
          <w:szCs w:val="30"/>
        </w:rPr>
      </w:pPr>
    </w:p>
    <w:p w:rsidR="00D72FF3" w:rsidRDefault="00D72FF3">
      <w:pPr>
        <w:ind w:right="300"/>
        <w:jc w:val="center"/>
        <w:rPr>
          <w:rFonts w:ascii="Times New Roman" w:eastAsia="仿宋_GB2312" w:hAnsi="Times New Roman" w:cs="Times New Roman"/>
          <w:sz w:val="30"/>
          <w:szCs w:val="30"/>
        </w:rPr>
      </w:pPr>
    </w:p>
    <w:p w:rsidR="00D72FF3" w:rsidRDefault="00D72FF3">
      <w:pPr>
        <w:ind w:right="300"/>
        <w:jc w:val="center"/>
        <w:rPr>
          <w:rFonts w:ascii="Times New Roman" w:eastAsia="仿宋_GB2312" w:hAnsi="Times New Roman" w:cs="Times New Roman"/>
          <w:sz w:val="30"/>
          <w:szCs w:val="30"/>
        </w:rPr>
      </w:pPr>
    </w:p>
    <w:p w:rsidR="00D72FF3" w:rsidRDefault="00D72FF3">
      <w:pPr>
        <w:ind w:right="300"/>
        <w:jc w:val="center"/>
        <w:rPr>
          <w:rFonts w:ascii="Times New Roman" w:eastAsia="仿宋_GB2312" w:hAnsi="Times New Roman" w:cs="Times New Roman"/>
          <w:sz w:val="30"/>
          <w:szCs w:val="30"/>
        </w:rPr>
      </w:pPr>
    </w:p>
    <w:p w:rsidR="00D72FF3" w:rsidRDefault="00D72FF3">
      <w:pPr>
        <w:ind w:right="300"/>
        <w:jc w:val="center"/>
        <w:rPr>
          <w:rFonts w:ascii="Times New Roman" w:eastAsia="仿宋_GB2312" w:hAnsi="Times New Roman" w:cs="Times New Roman"/>
          <w:sz w:val="30"/>
          <w:szCs w:val="30"/>
        </w:rPr>
      </w:pPr>
    </w:p>
    <w:p w:rsidR="00D72FF3" w:rsidRDefault="003427C1">
      <w:pPr>
        <w:widowControl/>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附录二</w:t>
      </w:r>
      <w:r>
        <w:rPr>
          <w:rFonts w:ascii="Times New Roman" w:eastAsia="仿宋_GB2312" w:hAnsi="Times New Roman" w:cs="Times New Roman"/>
          <w:sz w:val="30"/>
          <w:szCs w:val="30"/>
        </w:rPr>
        <w:t xml:space="preserve">           </w:t>
      </w:r>
    </w:p>
    <w:p w:rsidR="00D72FF3" w:rsidRDefault="003427C1">
      <w:pPr>
        <w:widowControl/>
        <w:jc w:val="center"/>
        <w:rPr>
          <w:rFonts w:ascii="Times New Roman" w:eastAsia="黑体" w:hAnsi="Times New Roman" w:cs="Times New Roman"/>
          <w:sz w:val="30"/>
          <w:szCs w:val="30"/>
        </w:rPr>
      </w:pPr>
      <w:r>
        <w:rPr>
          <w:rFonts w:ascii="Times New Roman" w:eastAsia="黑体" w:hAnsi="黑体" w:cs="Times New Roman"/>
          <w:sz w:val="30"/>
          <w:szCs w:val="30"/>
        </w:rPr>
        <w:t>常见问题</w:t>
      </w:r>
    </w:p>
    <w:p w:rsidR="00D72FF3" w:rsidRDefault="003427C1">
      <w:pPr>
        <w:widowControl/>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问：国家外汇管理局收到机构完整的申请材料后，委托所在地外汇局对机构相关软硬件设施进行实地检查，在相关要求和设施符合标准后，于多少个工作日内做出结售汇业务资格许可，并核定其结售汇综合头寸？</w:t>
      </w:r>
    </w:p>
    <w:p w:rsidR="00D72FF3" w:rsidRDefault="003427C1">
      <w:pPr>
        <w:widowControl/>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答：国家外汇管理局收到机构完整的申请材料后，委托所在地外汇局对机构相关软硬件设施进行实地检查，在相关要求和设施符合标准后，于</w:t>
      </w:r>
      <w:r>
        <w:rPr>
          <w:rFonts w:ascii="Times New Roman" w:eastAsia="仿宋_GB2312" w:hAnsi="Times New Roman" w:cs="Times New Roman"/>
          <w:kern w:val="0"/>
          <w:sz w:val="30"/>
          <w:szCs w:val="30"/>
        </w:rPr>
        <w:t>20</w:t>
      </w:r>
      <w:r>
        <w:rPr>
          <w:rFonts w:ascii="Times New Roman" w:eastAsia="仿宋_GB2312" w:hAnsi="Times New Roman" w:cs="Times New Roman"/>
          <w:kern w:val="0"/>
          <w:sz w:val="30"/>
          <w:szCs w:val="30"/>
        </w:rPr>
        <w:t>个工作日内做出结售汇业务资格许可，并核定其结售汇综合头寸。</w:t>
      </w:r>
    </w:p>
    <w:p w:rsidR="00D72FF3" w:rsidRDefault="00D72FF3">
      <w:pPr>
        <w:rPr>
          <w:rFonts w:ascii="Times New Roman" w:hAnsi="Times New Roman" w:cs="Times New Roman"/>
        </w:rPr>
      </w:pPr>
    </w:p>
    <w:p w:rsidR="00D72FF3" w:rsidRDefault="00D72FF3">
      <w:pPr>
        <w:rPr>
          <w:rFonts w:ascii="Times New Roman" w:hAnsi="Times New Roman" w:cs="Times New Roman"/>
        </w:rPr>
      </w:pPr>
    </w:p>
    <w:p w:rsidR="00D72FF3" w:rsidRDefault="00D72FF3">
      <w:pPr>
        <w:rPr>
          <w:rFonts w:ascii="Times New Roman" w:hAnsi="Times New Roman" w:cs="Times New Roman"/>
        </w:rPr>
      </w:pPr>
    </w:p>
    <w:p w:rsidR="00D72FF3" w:rsidRDefault="00D72FF3">
      <w:pPr>
        <w:rPr>
          <w:rFonts w:ascii="Times New Roman" w:hAnsi="Times New Roman" w:cs="Times New Roman"/>
        </w:rPr>
      </w:pPr>
    </w:p>
    <w:p w:rsidR="00D72FF3" w:rsidRDefault="00D72FF3">
      <w:pPr>
        <w:rPr>
          <w:rFonts w:ascii="Times New Roman" w:hAnsi="Times New Roman" w:cs="Times New Roman"/>
        </w:rPr>
      </w:pPr>
    </w:p>
    <w:p w:rsidR="00D72FF3" w:rsidRDefault="00D72FF3">
      <w:pPr>
        <w:rPr>
          <w:rFonts w:ascii="Times New Roman" w:hAnsi="Times New Roman" w:cs="Times New Roman"/>
        </w:rPr>
      </w:pPr>
    </w:p>
    <w:p w:rsidR="00D72FF3" w:rsidRDefault="00D72FF3">
      <w:pPr>
        <w:rPr>
          <w:rFonts w:ascii="Times New Roman" w:hAnsi="Times New Roman" w:cs="Times New Roman"/>
        </w:rPr>
      </w:pPr>
    </w:p>
    <w:p w:rsidR="00D72FF3" w:rsidRDefault="00D72FF3">
      <w:pPr>
        <w:rPr>
          <w:rFonts w:ascii="Times New Roman" w:hAnsi="Times New Roman" w:cs="Times New Roman"/>
        </w:rPr>
      </w:pPr>
    </w:p>
    <w:p w:rsidR="00D72FF3" w:rsidRDefault="00D72FF3">
      <w:pPr>
        <w:rPr>
          <w:rFonts w:ascii="Times New Roman" w:hAnsi="Times New Roman" w:cs="Times New Roman"/>
        </w:rPr>
      </w:pPr>
    </w:p>
    <w:p w:rsidR="00D72FF3" w:rsidRDefault="00D72FF3">
      <w:pPr>
        <w:rPr>
          <w:rFonts w:ascii="Times New Roman" w:hAnsi="Times New Roman" w:cs="Times New Roman"/>
        </w:rPr>
      </w:pPr>
    </w:p>
    <w:p w:rsidR="00D72FF3" w:rsidRDefault="00D72FF3">
      <w:pPr>
        <w:rPr>
          <w:rFonts w:ascii="Times New Roman" w:hAnsi="Times New Roman" w:cs="Times New Roman"/>
        </w:rPr>
      </w:pPr>
    </w:p>
    <w:p w:rsidR="00D72FF3" w:rsidRDefault="00D72FF3">
      <w:pPr>
        <w:rPr>
          <w:rFonts w:ascii="Times New Roman" w:hAnsi="Times New Roman" w:cs="Times New Roman"/>
        </w:rPr>
      </w:pPr>
    </w:p>
    <w:p w:rsidR="00D72FF3" w:rsidRDefault="00D72FF3">
      <w:pPr>
        <w:rPr>
          <w:rFonts w:ascii="Times New Roman" w:hAnsi="Times New Roman" w:cs="Times New Roman"/>
        </w:rPr>
      </w:pPr>
    </w:p>
    <w:p w:rsidR="00D72FF3" w:rsidRDefault="00D72FF3">
      <w:pPr>
        <w:rPr>
          <w:rFonts w:ascii="Times New Roman" w:hAnsi="Times New Roman" w:cs="Times New Roman"/>
        </w:rPr>
      </w:pPr>
    </w:p>
    <w:p w:rsidR="00D72FF3" w:rsidRDefault="00D72FF3">
      <w:pPr>
        <w:adjustRightInd w:val="0"/>
        <w:snapToGrid w:val="0"/>
        <w:spacing w:line="360" w:lineRule="auto"/>
        <w:rPr>
          <w:rFonts w:ascii="Times New Roman" w:hAnsi="Times New Roman" w:cs="Times New Roman"/>
        </w:rPr>
      </w:pPr>
    </w:p>
    <w:sectPr w:rsidR="00D72FF3" w:rsidSect="00D72FF3">
      <w:headerReference w:type="default" r:id="rId17"/>
      <w:footerReference w:type="default" r:id="rId18"/>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C17" w:rsidRDefault="00F83C17" w:rsidP="00D72FF3">
      <w:r>
        <w:separator/>
      </w:r>
    </w:p>
  </w:endnote>
  <w:endnote w:type="continuationSeparator" w:id="1">
    <w:p w:rsidR="00F83C17" w:rsidRDefault="00F83C17" w:rsidP="00D72F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ˎ̥">
    <w:altName w:val="Times New Roman"/>
    <w:charset w:val="00"/>
    <w:family w:val="auto"/>
    <w:pitch w:val="default"/>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A45" w:rsidRDefault="00416A4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FF3" w:rsidRDefault="007044DB">
    <w:pPr>
      <w:pStyle w:val="a6"/>
      <w:jc w:val="center"/>
    </w:pPr>
    <w:r w:rsidRPr="007044DB">
      <w:fldChar w:fldCharType="begin"/>
    </w:r>
    <w:r w:rsidR="003427C1">
      <w:instrText xml:space="preserve"> PAGE   \* MERGEFORMAT </w:instrText>
    </w:r>
    <w:r w:rsidRPr="007044DB">
      <w:fldChar w:fldCharType="separate"/>
    </w:r>
    <w:r w:rsidR="003427C1">
      <w:rPr>
        <w:lang w:val="zh-CN"/>
      </w:rPr>
      <w:t>10</w:t>
    </w:r>
    <w:r>
      <w:rPr>
        <w:lang w:val="zh-CN"/>
      </w:rPr>
      <w:fldChar w:fldCharType="end"/>
    </w:r>
  </w:p>
  <w:p w:rsidR="00D72FF3" w:rsidRDefault="00D72FF3">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A45" w:rsidRDefault="00416A45">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FF3" w:rsidRDefault="007044DB">
    <w:pPr>
      <w:pStyle w:val="a6"/>
      <w:jc w:val="center"/>
    </w:pPr>
    <w:r>
      <w:fldChar w:fldCharType="begin"/>
    </w:r>
    <w:r w:rsidR="003427C1">
      <w:instrText xml:space="preserve"> PAGE   \* MERGEFORMAT </w:instrText>
    </w:r>
    <w:r>
      <w:fldChar w:fldCharType="separate"/>
    </w:r>
    <w:r w:rsidR="00416A45" w:rsidRPr="00416A45">
      <w:rPr>
        <w:noProof/>
        <w:lang w:val="zh-CN"/>
      </w:rPr>
      <w:t>6</w:t>
    </w:r>
    <w:r>
      <w:fldChar w:fldCharType="end"/>
    </w:r>
  </w:p>
  <w:p w:rsidR="00D72FF3" w:rsidRDefault="00D72FF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C17" w:rsidRDefault="00F83C17" w:rsidP="00D72FF3">
      <w:r>
        <w:separator/>
      </w:r>
    </w:p>
  </w:footnote>
  <w:footnote w:type="continuationSeparator" w:id="1">
    <w:p w:rsidR="00F83C17" w:rsidRDefault="00F83C17" w:rsidP="00D72F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A45" w:rsidRDefault="00416A4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A45" w:rsidRDefault="00416A45">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C4B" w:rsidRDefault="00FE7C4B" w:rsidP="00FE7C4B">
    <w:pPr>
      <w:pStyle w:val="a7"/>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F0A" w:rsidRDefault="006E2F0A" w:rsidP="006E2F0A">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36866"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72FF3"/>
    <w:rsid w:val="00010DAD"/>
    <w:rsid w:val="000E3997"/>
    <w:rsid w:val="00150065"/>
    <w:rsid w:val="00246562"/>
    <w:rsid w:val="00254371"/>
    <w:rsid w:val="002A196A"/>
    <w:rsid w:val="00304520"/>
    <w:rsid w:val="003427C1"/>
    <w:rsid w:val="0035502A"/>
    <w:rsid w:val="003F102F"/>
    <w:rsid w:val="00416A45"/>
    <w:rsid w:val="004B7DE5"/>
    <w:rsid w:val="004F5FDF"/>
    <w:rsid w:val="00577CC1"/>
    <w:rsid w:val="005A15BF"/>
    <w:rsid w:val="006851F8"/>
    <w:rsid w:val="006B2F7F"/>
    <w:rsid w:val="006E2F0A"/>
    <w:rsid w:val="007044DB"/>
    <w:rsid w:val="00751CB3"/>
    <w:rsid w:val="007A1454"/>
    <w:rsid w:val="007D1B18"/>
    <w:rsid w:val="00982317"/>
    <w:rsid w:val="00A15A82"/>
    <w:rsid w:val="00A22502"/>
    <w:rsid w:val="00A45698"/>
    <w:rsid w:val="00AD4233"/>
    <w:rsid w:val="00B96480"/>
    <w:rsid w:val="00C84001"/>
    <w:rsid w:val="00CD750E"/>
    <w:rsid w:val="00D23F96"/>
    <w:rsid w:val="00D72FF3"/>
    <w:rsid w:val="00D92384"/>
    <w:rsid w:val="00DD16EA"/>
    <w:rsid w:val="00E040DE"/>
    <w:rsid w:val="00EB7308"/>
    <w:rsid w:val="00F74E23"/>
    <w:rsid w:val="00F75C5A"/>
    <w:rsid w:val="00F83C17"/>
    <w:rsid w:val="00FD7C14"/>
    <w:rsid w:val="00FE7C4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6" fillcolor="#9cbee0" strokecolor="#739cc3">
      <v:fill color="#9cbee0" color2="#bbd5f0" type="gradient">
        <o:fill v:ext="view" type="gradientUnscaled"/>
      </v:fill>
      <v:stroke color="#739cc3" weight="1.25pt" miterlimit="2"/>
    </o:shapedefaults>
    <o:shapelayout v:ext="edit">
      <o:idmap v:ext="edit" data="1"/>
      <o:rules v:ext="edit">
        <o:r id="V:Rule20" type="connector" idref="#AutoShape 17"/>
        <o:r id="V:Rule21" type="connector" idref="#AutoShape 5"/>
        <o:r id="V:Rule22" type="connector" idref="#AutoShape 6"/>
        <o:r id="V:Rule23" type="connector" idref="#AutoShape 3"/>
        <o:r id="V:Rule24" type="connector" idref="#AutoShape 22"/>
        <o:r id="V:Rule25" type="connector" idref="#AutoShape 34"/>
        <o:r id="V:Rule26" type="connector" idref="#AutoShape 14"/>
        <o:r id="V:Rule27" type="connector" idref="#AutoShape 15"/>
        <o:r id="V:Rule28" type="connector" idref="#AutoShape 20"/>
        <o:r id="V:Rule29" type="connector" idref="#AutoShape 33"/>
        <o:r id="V:Rule30" type="connector" idref="#AutoShape 27"/>
        <o:r id="V:Rule31" type="connector" idref="#AutoShape 39"/>
        <o:r id="V:Rule32" type="connector" idref="#AutoShape 25"/>
        <o:r id="V:Rule33" type="connector" idref="#AutoShape 30"/>
        <o:r id="V:Rule34" type="connector" idref="#AutoShape 12"/>
        <o:r id="V:Rule35" type="connector" idref="#AutoShape 31"/>
        <o:r id="V:Rule36" type="connector" idref="#AutoShape 40"/>
        <o:r id="V:Rule37" type="connector" idref="#AutoShape 44"/>
        <o:r id="V:Rule38" type="connector" idref="#AutoShape 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annotation text" w:semiHidden="0"/>
    <w:lsdException w:name="header" w:semiHidden="0"/>
    <w:lsdException w:name="footer" w:semiHidden="0"/>
    <w:lsdException w:name="caption" w:uiPriority="35" w:qFormat="1"/>
    <w:lsdException w:name="footnote reference" w:semiHidden="0"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Document Map" w:semiHidden="0" w:uiPriority="0" w:qFormat="1"/>
    <w:lsdException w:name="Normal (Web)" w:semiHidden="0"/>
    <w:lsdException w:name="HTML Preformatted" w:semiHidden="0" w:qFormat="1"/>
    <w:lsdException w:name="Balloon Text" w:semiHidden="0"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FF3"/>
    <w:pPr>
      <w:widowControl w:val="0"/>
      <w:jc w:val="both"/>
    </w:pPr>
    <w:rPr>
      <w:rFonts w:ascii="Calibri" w:hAnsi="Calibri" w:cs="黑体"/>
      <w:kern w:val="2"/>
      <w:sz w:val="21"/>
      <w:szCs w:val="22"/>
    </w:rPr>
  </w:style>
  <w:style w:type="paragraph" w:styleId="1">
    <w:name w:val="heading 1"/>
    <w:basedOn w:val="a"/>
    <w:next w:val="a"/>
    <w:link w:val="1Char"/>
    <w:uiPriority w:val="9"/>
    <w:qFormat/>
    <w:rsid w:val="00D72FF3"/>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rsid w:val="00D72FF3"/>
    <w:pPr>
      <w:keepNext/>
      <w:keepLines/>
      <w:spacing w:before="260" w:after="260" w:line="416" w:lineRule="auto"/>
      <w:outlineLvl w:val="1"/>
    </w:pPr>
    <w:rPr>
      <w:rFonts w:ascii="Cambria" w:hAnsi="Cambria" w:cs="Times New Roman"/>
      <w:b/>
      <w:bCs/>
      <w:sz w:val="32"/>
      <w:szCs w:val="32"/>
    </w:rPr>
  </w:style>
  <w:style w:type="paragraph" w:styleId="3">
    <w:name w:val="heading 3"/>
    <w:basedOn w:val="a"/>
    <w:next w:val="a"/>
    <w:link w:val="3Char"/>
    <w:uiPriority w:val="9"/>
    <w:qFormat/>
    <w:rsid w:val="00D72FF3"/>
    <w:pPr>
      <w:ind w:right="300"/>
      <w:outlineLvl w:val="2"/>
    </w:pPr>
    <w:rPr>
      <w:rFonts w:ascii="仿宋_GB2312" w:eastAsia="仿宋_GB2312"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nhideWhenUsed/>
    <w:qFormat/>
    <w:rsid w:val="00D72FF3"/>
    <w:rPr>
      <w:rFonts w:ascii="宋体"/>
      <w:sz w:val="18"/>
      <w:szCs w:val="18"/>
    </w:rPr>
  </w:style>
  <w:style w:type="paragraph" w:styleId="a4">
    <w:name w:val="annotation text"/>
    <w:basedOn w:val="a"/>
    <w:link w:val="Char0"/>
    <w:uiPriority w:val="99"/>
    <w:unhideWhenUsed/>
    <w:rsid w:val="00D72FF3"/>
    <w:pPr>
      <w:jc w:val="left"/>
    </w:pPr>
    <w:rPr>
      <w:rFonts w:cs="Times New Roman"/>
    </w:rPr>
  </w:style>
  <w:style w:type="paragraph" w:styleId="a5">
    <w:name w:val="Balloon Text"/>
    <w:basedOn w:val="a"/>
    <w:link w:val="Char1"/>
    <w:unhideWhenUsed/>
    <w:rsid w:val="00D72FF3"/>
    <w:rPr>
      <w:sz w:val="18"/>
      <w:szCs w:val="18"/>
    </w:rPr>
  </w:style>
  <w:style w:type="paragraph" w:styleId="a6">
    <w:name w:val="footer"/>
    <w:basedOn w:val="a"/>
    <w:link w:val="Char2"/>
    <w:uiPriority w:val="99"/>
    <w:unhideWhenUsed/>
    <w:rsid w:val="00D72FF3"/>
    <w:pPr>
      <w:tabs>
        <w:tab w:val="center" w:pos="4153"/>
        <w:tab w:val="right" w:pos="8306"/>
      </w:tabs>
      <w:snapToGrid w:val="0"/>
      <w:jc w:val="left"/>
    </w:pPr>
    <w:rPr>
      <w:sz w:val="18"/>
      <w:szCs w:val="18"/>
    </w:rPr>
  </w:style>
  <w:style w:type="paragraph" w:styleId="a7">
    <w:name w:val="header"/>
    <w:basedOn w:val="a"/>
    <w:link w:val="Char3"/>
    <w:uiPriority w:val="99"/>
    <w:unhideWhenUsed/>
    <w:rsid w:val="00D72FF3"/>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10"/>
    <w:semiHidden/>
    <w:qFormat/>
    <w:rsid w:val="00D72FF3"/>
    <w:pPr>
      <w:snapToGrid w:val="0"/>
      <w:jc w:val="left"/>
    </w:pPr>
    <w:rPr>
      <w:sz w:val="18"/>
      <w:szCs w:val="18"/>
    </w:rPr>
  </w:style>
  <w:style w:type="character" w:customStyle="1" w:styleId="Char4">
    <w:name w:val="脚注文本 Char"/>
    <w:basedOn w:val="a0"/>
    <w:uiPriority w:val="99"/>
    <w:semiHidden/>
    <w:rsid w:val="00D72FF3"/>
    <w:rPr>
      <w:kern w:val="2"/>
      <w:sz w:val="18"/>
      <w:szCs w:val="18"/>
    </w:rPr>
  </w:style>
  <w:style w:type="paragraph" w:styleId="HTML">
    <w:name w:val="HTML Preformatted"/>
    <w:basedOn w:val="a"/>
    <w:link w:val="HTMLChar"/>
    <w:uiPriority w:val="99"/>
    <w:unhideWhenUsed/>
    <w:qFormat/>
    <w:rsid w:val="00D72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9">
    <w:name w:val="Normal (Web)"/>
    <w:basedOn w:val="a"/>
    <w:uiPriority w:val="99"/>
    <w:unhideWhenUsed/>
    <w:rsid w:val="00D72FF3"/>
    <w:pPr>
      <w:widowControl/>
      <w:spacing w:before="100" w:beforeAutospacing="1" w:after="100" w:afterAutospacing="1"/>
      <w:jc w:val="left"/>
    </w:pPr>
    <w:rPr>
      <w:rFonts w:ascii="宋体" w:hAnsi="宋体" w:cs="宋体"/>
      <w:kern w:val="0"/>
      <w:sz w:val="24"/>
      <w:szCs w:val="24"/>
    </w:rPr>
  </w:style>
  <w:style w:type="character" w:styleId="aa">
    <w:name w:val="Hyperlink"/>
    <w:basedOn w:val="a0"/>
    <w:uiPriority w:val="99"/>
    <w:unhideWhenUsed/>
    <w:rsid w:val="00D72FF3"/>
    <w:rPr>
      <w:rFonts w:ascii="ˎ̥" w:hAnsi="ˎ̥" w:hint="default"/>
      <w:color w:val="0453CC"/>
      <w:sz w:val="20"/>
      <w:szCs w:val="20"/>
      <w:u w:val="none"/>
    </w:rPr>
  </w:style>
  <w:style w:type="character" w:styleId="ab">
    <w:name w:val="annotation reference"/>
    <w:basedOn w:val="a0"/>
    <w:semiHidden/>
    <w:unhideWhenUsed/>
    <w:rsid w:val="00D72FF3"/>
    <w:rPr>
      <w:sz w:val="21"/>
      <w:szCs w:val="21"/>
    </w:rPr>
  </w:style>
  <w:style w:type="character" w:styleId="ac">
    <w:name w:val="footnote reference"/>
    <w:unhideWhenUsed/>
    <w:qFormat/>
    <w:rsid w:val="00D72FF3"/>
    <w:rPr>
      <w:rFonts w:ascii="Times New Roman" w:hAnsi="Times New Roman" w:cs="Times New Roman"/>
      <w:vertAlign w:val="superscript"/>
    </w:rPr>
  </w:style>
  <w:style w:type="paragraph" w:customStyle="1" w:styleId="10">
    <w:name w:val="列出段落1"/>
    <w:basedOn w:val="a"/>
    <w:uiPriority w:val="34"/>
    <w:qFormat/>
    <w:rsid w:val="00D72FF3"/>
    <w:pPr>
      <w:ind w:firstLineChars="200" w:firstLine="420"/>
    </w:pPr>
  </w:style>
  <w:style w:type="paragraph" w:customStyle="1" w:styleId="Default">
    <w:name w:val="Default"/>
    <w:uiPriority w:val="99"/>
    <w:qFormat/>
    <w:rsid w:val="00D72FF3"/>
    <w:pPr>
      <w:widowControl w:val="0"/>
      <w:autoSpaceDE w:val="0"/>
      <w:autoSpaceDN w:val="0"/>
      <w:adjustRightInd w:val="0"/>
    </w:pPr>
    <w:rPr>
      <w:rFonts w:ascii="仿宋_GB2312" w:eastAsia="仿宋_GB2312" w:hAnsi="Calibri" w:cs="仿宋_GB2312"/>
      <w:color w:val="000000"/>
      <w:sz w:val="24"/>
      <w:szCs w:val="24"/>
    </w:rPr>
  </w:style>
  <w:style w:type="paragraph" w:customStyle="1" w:styleId="juzhong">
    <w:name w:val="juzhong"/>
    <w:basedOn w:val="a"/>
    <w:uiPriority w:val="99"/>
    <w:qFormat/>
    <w:rsid w:val="00D72FF3"/>
    <w:pPr>
      <w:widowControl/>
      <w:spacing w:before="100" w:beforeAutospacing="1" w:after="100" w:afterAutospacing="1"/>
      <w:jc w:val="left"/>
    </w:pPr>
    <w:rPr>
      <w:rFonts w:ascii="宋体" w:hAnsi="宋体" w:cs="宋体"/>
      <w:kern w:val="0"/>
      <w:sz w:val="24"/>
      <w:szCs w:val="24"/>
    </w:rPr>
  </w:style>
  <w:style w:type="paragraph" w:customStyle="1" w:styleId="11">
    <w:name w:val="修订1"/>
    <w:hidden/>
    <w:uiPriority w:val="99"/>
    <w:semiHidden/>
    <w:rsid w:val="00D72FF3"/>
    <w:rPr>
      <w:rFonts w:ascii="Calibri" w:hAnsi="Calibri" w:cs="黑体"/>
      <w:kern w:val="2"/>
      <w:sz w:val="21"/>
      <w:szCs w:val="22"/>
    </w:rPr>
  </w:style>
  <w:style w:type="paragraph" w:customStyle="1" w:styleId="12">
    <w:name w:val="列出段落1"/>
    <w:basedOn w:val="a"/>
    <w:uiPriority w:val="34"/>
    <w:qFormat/>
    <w:rsid w:val="00D72FF3"/>
    <w:pPr>
      <w:ind w:firstLineChars="200" w:firstLine="420"/>
    </w:pPr>
    <w:rPr>
      <w:rFonts w:cs="Times New Roman"/>
    </w:rPr>
  </w:style>
  <w:style w:type="paragraph" w:customStyle="1" w:styleId="4">
    <w:name w:val="列出段落4"/>
    <w:basedOn w:val="a"/>
    <w:qFormat/>
    <w:rsid w:val="00D72FF3"/>
    <w:pPr>
      <w:ind w:firstLineChars="200" w:firstLine="200"/>
    </w:pPr>
    <w:rPr>
      <w:rFonts w:cs="Times New Roman"/>
    </w:rPr>
  </w:style>
  <w:style w:type="paragraph" w:customStyle="1" w:styleId="30">
    <w:name w:val="列出段落3"/>
    <w:basedOn w:val="a"/>
    <w:qFormat/>
    <w:rsid w:val="00D72FF3"/>
    <w:pPr>
      <w:ind w:firstLineChars="200" w:firstLine="420"/>
    </w:pPr>
    <w:rPr>
      <w:rFonts w:ascii="Times New Roman" w:hAnsi="Times New Roman" w:cs="Times New Roman"/>
      <w:szCs w:val="24"/>
    </w:rPr>
  </w:style>
  <w:style w:type="paragraph" w:customStyle="1" w:styleId="p0">
    <w:name w:val="p0"/>
    <w:basedOn w:val="a"/>
    <w:qFormat/>
    <w:rsid w:val="00D72FF3"/>
    <w:pPr>
      <w:widowControl/>
    </w:pPr>
    <w:rPr>
      <w:rFonts w:cs="宋体"/>
      <w:kern w:val="0"/>
      <w:szCs w:val="21"/>
    </w:rPr>
  </w:style>
  <w:style w:type="character" w:customStyle="1" w:styleId="Char3">
    <w:name w:val="页眉 Char"/>
    <w:basedOn w:val="a0"/>
    <w:link w:val="a7"/>
    <w:uiPriority w:val="99"/>
    <w:rsid w:val="00D72FF3"/>
    <w:rPr>
      <w:sz w:val="18"/>
      <w:szCs w:val="18"/>
    </w:rPr>
  </w:style>
  <w:style w:type="character" w:customStyle="1" w:styleId="Char2">
    <w:name w:val="页脚 Char"/>
    <w:basedOn w:val="a0"/>
    <w:link w:val="a6"/>
    <w:uiPriority w:val="99"/>
    <w:rsid w:val="00D72FF3"/>
    <w:rPr>
      <w:sz w:val="18"/>
      <w:szCs w:val="18"/>
    </w:rPr>
  </w:style>
  <w:style w:type="character" w:customStyle="1" w:styleId="Char1">
    <w:name w:val="批注框文本 Char"/>
    <w:basedOn w:val="a0"/>
    <w:link w:val="a5"/>
    <w:rsid w:val="00D72FF3"/>
    <w:rPr>
      <w:sz w:val="18"/>
      <w:szCs w:val="18"/>
    </w:rPr>
  </w:style>
  <w:style w:type="character" w:customStyle="1" w:styleId="HTMLChar">
    <w:name w:val="HTML 预设格式 Char"/>
    <w:basedOn w:val="a0"/>
    <w:link w:val="HTML"/>
    <w:uiPriority w:val="99"/>
    <w:rsid w:val="00D72FF3"/>
    <w:rPr>
      <w:rFonts w:ascii="宋体" w:eastAsia="宋体" w:hAnsi="宋体" w:cs="宋体"/>
      <w:kern w:val="0"/>
      <w:sz w:val="24"/>
      <w:szCs w:val="24"/>
    </w:rPr>
  </w:style>
  <w:style w:type="character" w:customStyle="1" w:styleId="Char0">
    <w:name w:val="批注文字 Char"/>
    <w:basedOn w:val="a0"/>
    <w:link w:val="a4"/>
    <w:rsid w:val="00D72FF3"/>
    <w:rPr>
      <w:rFonts w:ascii="Calibri" w:eastAsia="宋体" w:hAnsi="Calibri" w:cs="Times New Roman"/>
    </w:rPr>
  </w:style>
  <w:style w:type="character" w:customStyle="1" w:styleId="1Char">
    <w:name w:val="标题 1 Char"/>
    <w:basedOn w:val="a0"/>
    <w:link w:val="1"/>
    <w:uiPriority w:val="9"/>
    <w:rsid w:val="00D72FF3"/>
    <w:rPr>
      <w:rFonts w:ascii="黑体" w:eastAsia="黑体" w:hAnsi="黑体" w:cs="宋体"/>
      <w:color w:val="000000"/>
      <w:kern w:val="0"/>
      <w:sz w:val="30"/>
      <w:szCs w:val="30"/>
    </w:rPr>
  </w:style>
  <w:style w:type="character" w:customStyle="1" w:styleId="2Char">
    <w:name w:val="标题 2 Char"/>
    <w:basedOn w:val="a0"/>
    <w:link w:val="2"/>
    <w:rsid w:val="00D72FF3"/>
    <w:rPr>
      <w:rFonts w:ascii="Cambria" w:eastAsia="宋体" w:hAnsi="Cambria" w:cs="Times New Roman"/>
      <w:b/>
      <w:bCs/>
      <w:sz w:val="32"/>
      <w:szCs w:val="32"/>
    </w:rPr>
  </w:style>
  <w:style w:type="character" w:customStyle="1" w:styleId="3Char">
    <w:name w:val="标题 3 Char"/>
    <w:basedOn w:val="a0"/>
    <w:link w:val="3"/>
    <w:uiPriority w:val="9"/>
    <w:rsid w:val="00D72FF3"/>
    <w:rPr>
      <w:rFonts w:ascii="仿宋_GB2312" w:eastAsia="仿宋_GB2312" w:hAnsi="Calibri" w:cs="Times New Roman"/>
      <w:sz w:val="30"/>
      <w:szCs w:val="30"/>
    </w:rPr>
  </w:style>
  <w:style w:type="character" w:customStyle="1" w:styleId="Char10">
    <w:name w:val="脚注文本 Char1"/>
    <w:basedOn w:val="a0"/>
    <w:link w:val="a8"/>
    <w:rsid w:val="00D72FF3"/>
    <w:rPr>
      <w:rFonts w:ascii="Times New Roman" w:hAnsi="Times New Roman"/>
      <w:sz w:val="18"/>
      <w:szCs w:val="18"/>
    </w:rPr>
  </w:style>
  <w:style w:type="character" w:customStyle="1" w:styleId="4CharChar">
    <w:name w:val="标题 4 Char Char"/>
    <w:qFormat/>
    <w:rsid w:val="00D72FF3"/>
    <w:rPr>
      <w:rFonts w:ascii="Calibri" w:hAnsi="Calibri"/>
      <w:b/>
      <w:bCs/>
      <w:sz w:val="28"/>
      <w:szCs w:val="28"/>
      <w:lang w:eastAsia="en-US" w:bidi="en-US"/>
    </w:rPr>
  </w:style>
  <w:style w:type="character" w:customStyle="1" w:styleId="Char">
    <w:name w:val="文档结构图 Char"/>
    <w:basedOn w:val="a0"/>
    <w:link w:val="a3"/>
    <w:rsid w:val="00D72FF3"/>
    <w:rPr>
      <w:rFonts w:ascii="宋体"/>
      <w:sz w:val="18"/>
      <w:szCs w:val="18"/>
    </w:rPr>
  </w:style>
  <w:style w:type="character" w:customStyle="1" w:styleId="Char11">
    <w:name w:val="批注文字 Char1"/>
    <w:basedOn w:val="a0"/>
    <w:uiPriority w:val="99"/>
    <w:semiHidden/>
    <w:qFormat/>
    <w:rsid w:val="00D72FF3"/>
    <w:rPr>
      <w:kern w:val="2"/>
      <w:sz w:val="21"/>
      <w:szCs w:val="22"/>
    </w:rPr>
  </w:style>
  <w:style w:type="character" w:customStyle="1" w:styleId="13">
    <w:name w:val="明显强调1"/>
    <w:basedOn w:val="a0"/>
    <w:uiPriority w:val="21"/>
    <w:qFormat/>
    <w:rsid w:val="00D72FF3"/>
    <w:rPr>
      <w:b/>
      <w:bCs/>
      <w:i/>
      <w:iCs/>
      <w:color w:val="4F81BD"/>
    </w:rPr>
  </w:style>
  <w:style w:type="character" w:customStyle="1" w:styleId="Char12">
    <w:name w:val="文档结构图 Char1"/>
    <w:basedOn w:val="a0"/>
    <w:uiPriority w:val="99"/>
    <w:semiHidden/>
    <w:rsid w:val="00D72FF3"/>
    <w:rPr>
      <w:rFonts w:ascii="宋体" w:eastAsia="宋体"/>
      <w:sz w:val="18"/>
      <w:szCs w:val="18"/>
    </w:rPr>
  </w:style>
  <w:style w:type="character" w:customStyle="1" w:styleId="Char20">
    <w:name w:val="脚注文本 Char2"/>
    <w:basedOn w:val="a0"/>
    <w:uiPriority w:val="99"/>
    <w:semiHidden/>
    <w:qFormat/>
    <w:rsid w:val="00D72FF3"/>
    <w:rPr>
      <w:sz w:val="18"/>
      <w:szCs w:val="18"/>
    </w:rPr>
  </w:style>
</w:styles>
</file>

<file path=word/webSettings.xml><?xml version="1.0" encoding="utf-8"?>
<w:webSettings xmlns:r="http://schemas.openxmlformats.org/officeDocument/2006/relationships" xmlns:w="http://schemas.openxmlformats.org/wordprocessingml/2006/main">
  <w:divs>
    <w:div w:id="1499539489">
      <w:bodyDiv w:val="1"/>
      <w:marLeft w:val="0"/>
      <w:marRight w:val="0"/>
      <w:marTop w:val="0"/>
      <w:marBottom w:val="0"/>
      <w:divBdr>
        <w:top w:val="none" w:sz="0" w:space="0" w:color="auto"/>
        <w:left w:val="none" w:sz="0" w:space="0" w:color="auto"/>
        <w:bottom w:val="none" w:sz="0" w:space="0" w:color="auto"/>
        <w:right w:val="none" w:sz="0" w:space="0" w:color="auto"/>
      </w:divBdr>
    </w:div>
    <w:div w:id="1578713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ww.safe.gov.c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afe.gov.cn"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zb-sc@mail.safe.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500</Words>
  <Characters>2854</Characters>
  <Application>Microsoft Office Word</Application>
  <DocSecurity>0</DocSecurity>
  <Lines>23</Lines>
  <Paragraphs>6</Paragraphs>
  <ScaleCrop>false</ScaleCrop>
  <Company/>
  <LinksUpToDate>false</LinksUpToDate>
  <CharactersWithSpaces>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编号：57014               _x0001_</dc:title>
  <dc:creator>裴建君2</dc:creator>
  <cp:lastModifiedBy>蔡群</cp:lastModifiedBy>
  <cp:revision>18</cp:revision>
  <cp:lastPrinted>2021-09-22T01:51:00Z</cp:lastPrinted>
  <dcterms:created xsi:type="dcterms:W3CDTF">2020-02-26T12:00:00Z</dcterms:created>
  <dcterms:modified xsi:type="dcterms:W3CDTF">2021-09-22T06:45:00Z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