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        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</w:t>
      </w:r>
      <w:r>
        <w:rPr>
          <w:rFonts w:hint="eastAsia" w:ascii="Times New Roman" w:hAnsi="Times New Roman" w:eastAsia="黑体" w:cs="Times New Roman"/>
          <w:sz w:val="52"/>
          <w:szCs w:val="52"/>
        </w:rPr>
        <w:t>服务贸易外汇收入存放境外外汇账户审批</w:t>
      </w:r>
      <w:r>
        <w:rPr>
          <w:rFonts w:ascii="Times New Roman" w:hAnsi="Times New Roman" w:eastAsia="黑体" w:cs="Times New Roman"/>
          <w:sz w:val="52"/>
          <w:szCs w:val="52"/>
        </w:rPr>
        <w:t>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陕西省分局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</w:t>
      </w:r>
      <w:bookmarkStart w:id="0" w:name="_Hlk421820588"/>
      <w:r>
        <w:rPr>
          <w:rFonts w:ascii="Times New Roman" w:hAnsi="Times New Roman" w:eastAsia="仿宋_GB2312" w:cs="Times New Roman"/>
          <w:sz w:val="30"/>
          <w:szCs w:val="30"/>
        </w:rPr>
        <w:t>外汇账户的开立、变更、关闭、撤销以及账户允许保留限额核准</w:t>
      </w:r>
      <w:bookmarkEnd w:id="0"/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项目编号：57017；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本指南适用于“外汇账户的开立、变更、关闭、撤销以及账户允许保留限额核准”的申请和办理。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《国务院对确需保留的行政审批项目设定行政许可的决定》（国务院令第412号）附件第493项“外汇账户（含边贸人民币结算专用账户）的开立、变更、关闭、撤销以及账户允许保留限额核准。</w:t>
      </w: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四、服务贸易外汇收入存放境外外汇账户审批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596" w:firstLineChars="200"/>
        <w:rPr>
          <w:rFonts w:ascii="Times New Roman" w:hAnsi="Times New Roman" w:eastAsia="仿宋_GB2312" w:cs="Times New Roman"/>
          <w:color w:val="auto"/>
          <w:spacing w:val="-1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</w:rPr>
        <w:t>国家外汇管理局陕西省分局</w:t>
      </w: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申请人为境内机构，需同时符合以下条件：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1.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服务贸易外汇收入存放境外外汇账户开立申请材料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包括但不限于基本情况、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服务贸易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开展情况、拟开户银行、使用期限、根据实际需要申请的存放境外资金规模等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</w:t>
            </w:r>
          </w:p>
        </w:tc>
      </w:tr>
    </w:tbl>
    <w:p>
      <w:pPr>
        <w:adjustRightInd w:val="0"/>
        <w:snapToGrid w:val="0"/>
        <w:spacing w:beforeLines="50"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服务贸易外汇收入存放境外外汇账户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变更申请材料</w:t>
      </w:r>
    </w:p>
    <w:tbl>
      <w:tblPr>
        <w:tblStyle w:val="19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134"/>
        <w:gridCol w:w="1134"/>
        <w:gridCol w:w="851"/>
        <w:gridCol w:w="1701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申请书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701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列明变更事项（开户银行、收支范围、使用期限、需提高存放境外资金规模或境内企业集团调整参与成员公司）</w:t>
            </w:r>
          </w:p>
        </w:tc>
        <w:tc>
          <w:tcPr>
            <w:tcW w:w="1275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法定代表人或其授权人签字并加盖企业公章，境内企业集团应由主办企业申请变更登记</w:t>
            </w:r>
          </w:p>
        </w:tc>
      </w:tr>
    </w:tbl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申请人可通过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陕西省</w:t>
      </w:r>
      <w:r>
        <w:rPr>
          <w:rFonts w:ascii="Times New Roman" w:hAnsi="Times New Roman" w:eastAsia="仿宋_GB2312" w:cs="Times New Roman"/>
          <w:color w:val="000000"/>
          <w:spacing w:val="-1"/>
          <w:sz w:val="30"/>
          <w:szCs w:val="30"/>
          <w:highlight w:val="none"/>
        </w:rPr>
        <w:t>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  <w:highlight w:val="none"/>
        </w:rPr>
        <w:t>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4.对于符合规定条件，向申请人出具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sz w:val="30"/>
          <w:szCs w:val="30"/>
        </w:rPr>
        <w:t>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核准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文件。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color w:val="000000"/>
          <w:sz w:val="30"/>
          <w:szCs w:val="30"/>
        </w:rPr>
      </w:pPr>
      <w:r>
        <w:rPr>
          <w:rFonts w:ascii="Times New Roman" w:hAnsi="Times New Roman" w:eastAsia="黑体" w:cs="Times New Roman"/>
          <w:color w:val="000000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外汇局</w:t>
      </w:r>
      <w:r>
        <w:rPr>
          <w:rFonts w:ascii="Times New Roman" w:hAnsi="Times New Roman" w:eastAsia="黑体" w:cs="Times New Roman"/>
          <w:sz w:val="30"/>
          <w:szCs w:val="30"/>
        </w:rPr>
        <w:t>办理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向国家外汇管理局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咨询、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进度查询、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监督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和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投诉等可通过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电话、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陕西省分局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官方互联网站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咨询反馈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栏目进行。</w:t>
      </w:r>
    </w:p>
    <w:p>
      <w:pPr>
        <w:adjustRightInd w:val="0"/>
        <w:snapToGrid w:val="0"/>
        <w:spacing w:line="360" w:lineRule="auto"/>
        <w:ind w:firstLine="600"/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电话：029-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88150710；029-88150690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color w:val="000000"/>
          <w:sz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网址：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HYPERLINK "http://www.safe.gov.cn/" </w:instrText>
      </w:r>
      <w:r>
        <w:rPr>
          <w:color w:val="000000"/>
        </w:rPr>
        <w:fldChar w:fldCharType="separate"/>
      </w:r>
      <w:r>
        <w:rPr>
          <w:rFonts w:ascii="Times New Roman" w:hAnsi="Times New Roman" w:eastAsia="仿宋_GB2312" w:cs="Times New Roman"/>
          <w:color w:val="000000"/>
          <w:sz w:val="30"/>
        </w:rPr>
        <w:t>www.safe.gov.cn</w:t>
      </w:r>
      <w:r>
        <w:rPr>
          <w:color w:val="000000"/>
        </w:rPr>
        <w:fldChar w:fldCharType="end"/>
      </w:r>
      <w:r>
        <w:rPr>
          <w:rFonts w:hint="eastAsia" w:ascii="Times New Roman" w:hAnsi="Times New Roman" w:eastAsia="仿宋_GB2312" w:cs="Times New Roman"/>
          <w:color w:val="000000"/>
          <w:sz w:val="30"/>
        </w:rPr>
        <w:t>/shaanxi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（十七）办公地址和时间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办公地址：西安市高新路49号，中国人民银行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陕西省</w:t>
      </w:r>
      <w:bookmarkStart w:id="1" w:name="_GoBack"/>
      <w:bookmarkEnd w:id="1"/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分行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eastAsia="zh-CN"/>
        </w:rPr>
        <w:t>机关大楼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  <w:lang w:val="en-US" w:eastAsia="zh-CN"/>
        </w:rPr>
        <w:t>14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房间。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办公时间：工作日8:30-11:30,13:30-17:00。</w:t>
      </w:r>
    </w:p>
    <w:p>
      <w:pPr>
        <w:widowControl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关于开立服务贸易外汇收入存放境外外汇账户的申请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我公司成立于XXXX年，注册资金XX万元，注册地址XX（公司基本情况介绍）。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XXXX年，我公司服务贸易外汇收入和支出金额分别为……，同比分别增长（下降）……。</w:t>
      </w:r>
      <w:r>
        <w:rPr>
          <w:rFonts w:ascii="Times New Roman" w:hAnsi="Times New Roman" w:eastAsia="仿宋_GB2312" w:cs="Times New Roman"/>
          <w:sz w:val="30"/>
          <w:szCs w:val="30"/>
        </w:rPr>
        <w:t>因XX业务需要，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申请</w:t>
      </w:r>
      <w:r>
        <w:rPr>
          <w:rFonts w:ascii="Times New Roman" w:hAnsi="Times New Roman" w:eastAsia="仿宋_GB2312" w:cs="Times New Roman"/>
          <w:sz w:val="30"/>
          <w:szCs w:val="30"/>
        </w:rPr>
        <w:t>在X国开立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</w:t>
      </w:r>
      <w:r>
        <w:rPr>
          <w:rFonts w:ascii="Times New Roman" w:hAnsi="Times New Roman" w:eastAsia="仿宋_GB2312" w:cs="Times New Roman"/>
          <w:sz w:val="30"/>
          <w:szCs w:val="30"/>
        </w:rPr>
        <w:t>存放境外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外汇</w:t>
      </w:r>
      <w:r>
        <w:rPr>
          <w:rFonts w:ascii="Times New Roman" w:hAnsi="Times New Roman" w:eastAsia="仿宋_GB2312" w:cs="Times New Roman"/>
          <w:sz w:val="30"/>
          <w:szCs w:val="30"/>
        </w:rPr>
        <w:t>账户，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详细信息如下：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适用币种：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开户银行：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账户使用期限：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存放境外资金规模：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账户收支范围：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（开立账户后，存放境外内部管理制度介绍）。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特此申请。</w:t>
      </w:r>
    </w:p>
    <w:p>
      <w:pPr>
        <w:wordWrap w:val="0"/>
        <w:adjustRightInd w:val="0"/>
        <w:snapToGrid w:val="0"/>
        <w:spacing w:line="360" w:lineRule="auto"/>
        <w:ind w:right="300" w:firstLine="600" w:firstLineChars="200"/>
        <w:jc w:val="right"/>
        <w:outlineLvl w:val="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XX公司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1.申请存放境外需要具备哪些条件？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（1）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服务贸易外汇收入来源真实合法，且在境外有符合相关规定的支付需求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； 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（2）近两年无违反外汇管理规定行为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按照法规要求，正式受理后，20个工作日内可以批复。</w:t>
      </w:r>
    </w:p>
    <w:p>
      <w:pPr>
        <w:adjustRightInd w:val="0"/>
        <w:snapToGrid w:val="0"/>
        <w:spacing w:line="360" w:lineRule="auto"/>
        <w:ind w:firstLine="600" w:firstLineChars="200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某公司近两年因违反外汇管理规定被处罚，申请该业务。</w:t>
      </w: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</w:t>
      </w:r>
      <w:r>
        <w:rPr>
          <w:rFonts w:hint="eastAsia" w:ascii="Times New Roman" w:hAnsi="Times New Roman" w:eastAsia="黑体" w:cs="Times New Roman"/>
          <w:sz w:val="30"/>
          <w:szCs w:val="30"/>
        </w:rPr>
        <w:t>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Group 25" o:spid="_x0000_s1026" style="position:absolute;left:0;margin-left:-42.35pt;margin-top:35.25pt;height:473.2pt;width:472.7pt;rotation:0f;z-index:251658240;" coordorigin="825,3393" coordsize="9454,9464">
            <o:lock v:ext="edit" position="f" selection="f" grouping="f" rotation="f" cropping="f" text="f" aspectratio="f"/>
            <v:shape id="直接箭头连接符 21" o:spid="_x0000_s1027" type="#_x0000_t32" style="position:absolute;left:2402;top:4552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7" o:spid="_x0000_s1028" type="#_x0000_t32" style="position:absolute;left:4275;top:5918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6" o:spid="_x0000_s1029" type="#_x0000_t32" style="position:absolute;left:4275;top:6752;height:1;width:564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8" o:spid="_x0000_s1030" type="#_x0000_t34" style="position:absolute;left:8573;top:5455;height:1;width:271;rotation:17694720f;" o:ole="f" fillcolor="#FFFFFF" filled="t" o:preferrelative="t" stroked="t" coordorigin="0,0" coordsize="21600,21600" adj="1076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9" o:spid="_x0000_s1031" type="#_x0000_t32" style="position:absolute;left:2417;top:4938;flip:x y;height:72;width:485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9" o:spid="_x0000_s1032" type="#_x0000_t32" style="position:absolute;left:5002;top:9276;height:437;width:0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11" o:spid="_x0000_s1033" type="#_x0000_t32" style="position:absolute;left:4986;top:11195;height:90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直接箭头连接符 5" o:spid="_x0000_s1034" type="#_x0000_t32" style="position:absolute;left:2432;top:7405;height:1391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6" o:spid="_x0000_s1035" type="#_x0000_t32" style="position:absolute;left:2432;top:8792;height:0;width:82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决策 2" o:spid="_x0000_s1036" type="#_x0000_t110" style="position:absolute;left:825;top:5391;height:2085;width:315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left"/>
                    </w:pPr>
                    <w:r>
                      <w:rPr>
                        <w:rFonts w:hint="eastAsia"/>
                      </w:rPr>
                      <w:t>接件并于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  <w:r>
                      <w:rPr>
                        <w:rFonts w:hint="eastAsia"/>
                      </w:rPr>
                      <w:t>个工作日作出是否受理决定</w:t>
                    </w:r>
                  </w:p>
                </w:txbxContent>
              </v:textbox>
            </v:shape>
            <v:shape id="直接箭头连接符 3" o:spid="_x0000_s1037" type="#_x0000_t32" style="position:absolute;left:4275;top:5933;height:804;width: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shape id="直接箭头连接符 4" o:spid="_x0000_s1038" type="#_x0000_t32" style="position:absolute;left:3982;top:6416;height:0;width:293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</v:shape>
            <v:rect id="矩形 20" o:spid="_x0000_s1039" style="position:absolute;left:7272;top:4573;height:720;width:2929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ect>
            <v:shape id="流程图: 过程 7" o:spid="_x0000_s1040" type="#_x0000_t109" style="position:absolute;left:4839;top:5591;height:587;width:544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材料不全或不符合法定形式的，一次性告知补正材料</w:t>
                    </w:r>
                  </w:p>
                </w:txbxContent>
              </v:textbox>
            </v:shape>
            <v:rect id="矩形 8" o:spid="_x0000_s1041" style="position:absolute;left:4839;top:6592;height:811;width:5440;rotation:0f;" o:ole="f" fillcolor="#FFFFFF" filled="t" o:preferrelative="t" stroked="t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依法不予受理的，作出不予受理决定，出具不予受理通知书</w:t>
                    </w:r>
                  </w:p>
                </w:txbxContent>
              </v:textbox>
            </v:rect>
            <v:shape id="流程图: 过程 13" o:spid="_x0000_s1042" type="#_x0000_t109" style="position:absolute;left:3332;top:8461;height:815;width:322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依法应予受理的，出具受理单</w:t>
                    </w:r>
                  </w:p>
                  <w:p/>
                </w:txbxContent>
              </v:textbox>
            </v:shape>
            <v:shape id="流程图: 决策 10" o:spid="_x0000_s1043" type="#_x0000_t110" style="position:absolute;left:3456;top:9713;height:1444;width:306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审查报批</w:t>
                    </w:r>
                  </w:p>
                </w:txbxContent>
              </v:textbox>
            </v:shape>
            <v:shape id="流程图: 过程 12" o:spid="_x0000_s1044" type="#_x0000_t109" style="position:absolute;left:3452;top:12100;height:757;width:298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予以许可的，向申请人出具核准书面决定</w:t>
                    </w:r>
                  </w:p>
                  <w:p/>
                </w:txbxContent>
              </v:textbox>
            </v:shape>
            <v:shape id="流程图: 过程 14" o:spid="_x0000_s1045" type="#_x0000_t109" style="position:absolute;left:7786;top:10041;height:766;width:2298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依法作出不予许可决定</w:t>
                    </w:r>
                  </w:p>
                  <w:p/>
                </w:txbxContent>
              </v:textbox>
            </v:shape>
            <v:shape id="直接箭头连接符 15" o:spid="_x0000_s1046" type="#_x0000_t32" style="position:absolute;left:6520;top:10422;flip:y;height:15;width:1266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流程图: 终止 22" o:spid="_x0000_s1047" type="#_x0000_t116" style="position:absolute;left:1258;top:3393;height:1172;width:2467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申请人现场提出书面申请，并提交材料</w:t>
                    </w:r>
                  </w:p>
                  <w:p/>
                </w:txbxContent>
              </v:textbox>
            </v:shape>
          </v:group>
        </w:pict>
      </w:r>
    </w:p>
    <w:sectPr>
      <w:footerReference r:id="rId10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77973"/>
    <w:rsid w:val="00080630"/>
    <w:rsid w:val="00091661"/>
    <w:rsid w:val="00092D53"/>
    <w:rsid w:val="00096CBB"/>
    <w:rsid w:val="00097F7B"/>
    <w:rsid w:val="000B308B"/>
    <w:rsid w:val="000B6901"/>
    <w:rsid w:val="000B728B"/>
    <w:rsid w:val="000C15B3"/>
    <w:rsid w:val="000C2B33"/>
    <w:rsid w:val="000D1995"/>
    <w:rsid w:val="000D7478"/>
    <w:rsid w:val="0012202B"/>
    <w:rsid w:val="0012271F"/>
    <w:rsid w:val="00130519"/>
    <w:rsid w:val="00135BEE"/>
    <w:rsid w:val="00140FCF"/>
    <w:rsid w:val="0014667A"/>
    <w:rsid w:val="00154B58"/>
    <w:rsid w:val="00157C64"/>
    <w:rsid w:val="00157E81"/>
    <w:rsid w:val="00170126"/>
    <w:rsid w:val="00177059"/>
    <w:rsid w:val="00181D3E"/>
    <w:rsid w:val="00182FDC"/>
    <w:rsid w:val="00196FAE"/>
    <w:rsid w:val="001A08D4"/>
    <w:rsid w:val="001A3E49"/>
    <w:rsid w:val="001A72AA"/>
    <w:rsid w:val="001B1E2C"/>
    <w:rsid w:val="001B68E1"/>
    <w:rsid w:val="001C44C7"/>
    <w:rsid w:val="001D65A2"/>
    <w:rsid w:val="001E1407"/>
    <w:rsid w:val="001F4BD4"/>
    <w:rsid w:val="001F7297"/>
    <w:rsid w:val="00205D07"/>
    <w:rsid w:val="00212F39"/>
    <w:rsid w:val="00217116"/>
    <w:rsid w:val="002222D1"/>
    <w:rsid w:val="00224238"/>
    <w:rsid w:val="00231EED"/>
    <w:rsid w:val="00233841"/>
    <w:rsid w:val="00235F24"/>
    <w:rsid w:val="002417D2"/>
    <w:rsid w:val="00241FE8"/>
    <w:rsid w:val="00242648"/>
    <w:rsid w:val="00243264"/>
    <w:rsid w:val="0024527E"/>
    <w:rsid w:val="00253A10"/>
    <w:rsid w:val="00253F7B"/>
    <w:rsid w:val="00255EAC"/>
    <w:rsid w:val="00262235"/>
    <w:rsid w:val="00263B1F"/>
    <w:rsid w:val="00263BFE"/>
    <w:rsid w:val="002738B5"/>
    <w:rsid w:val="00291C17"/>
    <w:rsid w:val="0029313A"/>
    <w:rsid w:val="002B0B1C"/>
    <w:rsid w:val="002B598D"/>
    <w:rsid w:val="002B61C1"/>
    <w:rsid w:val="002E1323"/>
    <w:rsid w:val="002E4A4E"/>
    <w:rsid w:val="002F3868"/>
    <w:rsid w:val="00302119"/>
    <w:rsid w:val="00302E87"/>
    <w:rsid w:val="00310261"/>
    <w:rsid w:val="00324E79"/>
    <w:rsid w:val="00342642"/>
    <w:rsid w:val="00343044"/>
    <w:rsid w:val="00344B01"/>
    <w:rsid w:val="00353AC4"/>
    <w:rsid w:val="003616B4"/>
    <w:rsid w:val="003A57B2"/>
    <w:rsid w:val="003B0C46"/>
    <w:rsid w:val="003C7132"/>
    <w:rsid w:val="003D4A51"/>
    <w:rsid w:val="003D77A5"/>
    <w:rsid w:val="003E6BF6"/>
    <w:rsid w:val="003F221D"/>
    <w:rsid w:val="003F3097"/>
    <w:rsid w:val="00402AE8"/>
    <w:rsid w:val="00405FE6"/>
    <w:rsid w:val="00406AEB"/>
    <w:rsid w:val="004105BC"/>
    <w:rsid w:val="004163C0"/>
    <w:rsid w:val="00421C27"/>
    <w:rsid w:val="00434C7C"/>
    <w:rsid w:val="00440A1F"/>
    <w:rsid w:val="00443603"/>
    <w:rsid w:val="00443604"/>
    <w:rsid w:val="00447FA5"/>
    <w:rsid w:val="004501EA"/>
    <w:rsid w:val="00460458"/>
    <w:rsid w:val="0046792D"/>
    <w:rsid w:val="004767DF"/>
    <w:rsid w:val="00493CCC"/>
    <w:rsid w:val="004A0218"/>
    <w:rsid w:val="004A7840"/>
    <w:rsid w:val="004A78E0"/>
    <w:rsid w:val="004B5070"/>
    <w:rsid w:val="004B545A"/>
    <w:rsid w:val="004B7E80"/>
    <w:rsid w:val="004C457E"/>
    <w:rsid w:val="004C48D5"/>
    <w:rsid w:val="004D03B7"/>
    <w:rsid w:val="004D1436"/>
    <w:rsid w:val="004D57AE"/>
    <w:rsid w:val="005056D4"/>
    <w:rsid w:val="005125EC"/>
    <w:rsid w:val="00526B2B"/>
    <w:rsid w:val="005362B0"/>
    <w:rsid w:val="0053703D"/>
    <w:rsid w:val="00542447"/>
    <w:rsid w:val="00545209"/>
    <w:rsid w:val="0055599B"/>
    <w:rsid w:val="00564312"/>
    <w:rsid w:val="005774DB"/>
    <w:rsid w:val="00577B1E"/>
    <w:rsid w:val="00586E61"/>
    <w:rsid w:val="00593C10"/>
    <w:rsid w:val="005A2981"/>
    <w:rsid w:val="005B0F69"/>
    <w:rsid w:val="005C6937"/>
    <w:rsid w:val="005C7F02"/>
    <w:rsid w:val="005D0D5F"/>
    <w:rsid w:val="005F0A86"/>
    <w:rsid w:val="005F144A"/>
    <w:rsid w:val="005F1C00"/>
    <w:rsid w:val="006003C2"/>
    <w:rsid w:val="0061621E"/>
    <w:rsid w:val="00630AA8"/>
    <w:rsid w:val="00630B2E"/>
    <w:rsid w:val="00643D2A"/>
    <w:rsid w:val="006523DA"/>
    <w:rsid w:val="00664E11"/>
    <w:rsid w:val="00673B30"/>
    <w:rsid w:val="006946A7"/>
    <w:rsid w:val="00696E5D"/>
    <w:rsid w:val="006B3DF4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125"/>
    <w:rsid w:val="00753CB0"/>
    <w:rsid w:val="00755460"/>
    <w:rsid w:val="00761FB7"/>
    <w:rsid w:val="00762107"/>
    <w:rsid w:val="00764CB9"/>
    <w:rsid w:val="00765B05"/>
    <w:rsid w:val="00770157"/>
    <w:rsid w:val="00785F45"/>
    <w:rsid w:val="007933BD"/>
    <w:rsid w:val="007A2780"/>
    <w:rsid w:val="007A403E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1DC0"/>
    <w:rsid w:val="008A4538"/>
    <w:rsid w:val="008A704B"/>
    <w:rsid w:val="008B079F"/>
    <w:rsid w:val="008B08D2"/>
    <w:rsid w:val="008B4EE5"/>
    <w:rsid w:val="008B5807"/>
    <w:rsid w:val="008D5FA0"/>
    <w:rsid w:val="008E2D38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5E71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A766A"/>
    <w:rsid w:val="009C1AE0"/>
    <w:rsid w:val="009C4672"/>
    <w:rsid w:val="009C491B"/>
    <w:rsid w:val="009C7E8B"/>
    <w:rsid w:val="009D0911"/>
    <w:rsid w:val="009D24F8"/>
    <w:rsid w:val="009D688C"/>
    <w:rsid w:val="009D703D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342E"/>
    <w:rsid w:val="00AA28A2"/>
    <w:rsid w:val="00AA7717"/>
    <w:rsid w:val="00AB131E"/>
    <w:rsid w:val="00AB3B88"/>
    <w:rsid w:val="00AB644F"/>
    <w:rsid w:val="00AC1D17"/>
    <w:rsid w:val="00AC3F5E"/>
    <w:rsid w:val="00AD2DED"/>
    <w:rsid w:val="00AE7ACF"/>
    <w:rsid w:val="00AF1339"/>
    <w:rsid w:val="00B06409"/>
    <w:rsid w:val="00B17D66"/>
    <w:rsid w:val="00B35D3A"/>
    <w:rsid w:val="00B422F1"/>
    <w:rsid w:val="00B52382"/>
    <w:rsid w:val="00B54103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447"/>
    <w:rsid w:val="00BB7B76"/>
    <w:rsid w:val="00BD233D"/>
    <w:rsid w:val="00BF4EF0"/>
    <w:rsid w:val="00BF7FCF"/>
    <w:rsid w:val="00C02E44"/>
    <w:rsid w:val="00C147D2"/>
    <w:rsid w:val="00C2075F"/>
    <w:rsid w:val="00C23799"/>
    <w:rsid w:val="00C274C9"/>
    <w:rsid w:val="00C275D5"/>
    <w:rsid w:val="00C31E02"/>
    <w:rsid w:val="00C42513"/>
    <w:rsid w:val="00C4465B"/>
    <w:rsid w:val="00C46940"/>
    <w:rsid w:val="00C54291"/>
    <w:rsid w:val="00C601D3"/>
    <w:rsid w:val="00C672C3"/>
    <w:rsid w:val="00C712B2"/>
    <w:rsid w:val="00C74460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CE61BD"/>
    <w:rsid w:val="00D01626"/>
    <w:rsid w:val="00D12C7B"/>
    <w:rsid w:val="00D26728"/>
    <w:rsid w:val="00D26F10"/>
    <w:rsid w:val="00D33A4D"/>
    <w:rsid w:val="00D33F76"/>
    <w:rsid w:val="00D37EC3"/>
    <w:rsid w:val="00D41F5E"/>
    <w:rsid w:val="00D43DC0"/>
    <w:rsid w:val="00D457D1"/>
    <w:rsid w:val="00D54E56"/>
    <w:rsid w:val="00D6407D"/>
    <w:rsid w:val="00D93E78"/>
    <w:rsid w:val="00D9765F"/>
    <w:rsid w:val="00DB61F0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37414"/>
    <w:rsid w:val="00E40E64"/>
    <w:rsid w:val="00E42C5F"/>
    <w:rsid w:val="00E65A1B"/>
    <w:rsid w:val="00E72F1F"/>
    <w:rsid w:val="00E80001"/>
    <w:rsid w:val="00E934AB"/>
    <w:rsid w:val="00EA06AC"/>
    <w:rsid w:val="00EA08BF"/>
    <w:rsid w:val="00EA24FB"/>
    <w:rsid w:val="00EB3204"/>
    <w:rsid w:val="00EB50BA"/>
    <w:rsid w:val="00EC3D33"/>
    <w:rsid w:val="00EC7AC5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A7FB8"/>
    <w:rsid w:val="00FB09C6"/>
    <w:rsid w:val="00FB38EA"/>
    <w:rsid w:val="00FB5E0F"/>
    <w:rsid w:val="00FB5E8C"/>
    <w:rsid w:val="00FB6AFF"/>
    <w:rsid w:val="00FC4D8F"/>
    <w:rsid w:val="00FD06D3"/>
    <w:rsid w:val="00FE3157"/>
    <w:rsid w:val="00FE6865"/>
    <w:rsid w:val="00FE6993"/>
    <w:rsid w:val="00FF6200"/>
    <w:rsid w:val="07B11FAD"/>
    <w:rsid w:val="12B25538"/>
    <w:rsid w:val="1F4F06F7"/>
    <w:rsid w:val="21B26DD5"/>
    <w:rsid w:val="2412563B"/>
    <w:rsid w:val="2BA769AB"/>
    <w:rsid w:val="2BEB73AD"/>
    <w:rsid w:val="2DA71974"/>
    <w:rsid w:val="32755D55"/>
    <w:rsid w:val="3ECC5115"/>
    <w:rsid w:val="3ECD2B96"/>
    <w:rsid w:val="446134BD"/>
    <w:rsid w:val="52181207"/>
    <w:rsid w:val="582E113A"/>
    <w:rsid w:val="58C44EDC"/>
    <w:rsid w:val="5E635D67"/>
    <w:rsid w:val="634D743D"/>
    <w:rsid w:val="67414AFB"/>
    <w:rsid w:val="67E433FF"/>
    <w:rsid w:val="711C3997"/>
    <w:rsid w:val="7A237CD7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4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5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Style w:val="1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annotation subject"/>
    <w:basedOn w:val="6"/>
    <w:next w:val="6"/>
    <w:link w:val="44"/>
    <w:unhideWhenUsed/>
    <w:uiPriority w:val="99"/>
    <w:rPr>
      <w:rFonts w:cs="黑体"/>
      <w:b/>
      <w:bCs/>
    </w:rPr>
  </w:style>
  <w:style w:type="paragraph" w:styleId="6">
    <w:name w:val="annotation text"/>
    <w:basedOn w:val="1"/>
    <w:link w:val="32"/>
    <w:unhideWhenUsed/>
    <w:qFormat/>
    <w:uiPriority w:val="99"/>
    <w:pPr>
      <w:jc w:val="left"/>
    </w:pPr>
    <w:rPr>
      <w:rFonts w:cs="Times New Roman"/>
    </w:rPr>
  </w:style>
  <w:style w:type="paragraph" w:styleId="7">
    <w:name w:val="Document Map"/>
    <w:basedOn w:val="1"/>
    <w:link w:val="39"/>
    <w:unhideWhenUsed/>
    <w:qFormat/>
    <w:uiPriority w:val="0"/>
    <w:rPr>
      <w:rFonts w:ascii="宋体"/>
      <w:sz w:val="18"/>
      <w:szCs w:val="18"/>
    </w:rPr>
  </w:style>
  <w:style w:type="paragraph" w:styleId="8">
    <w:name w:val="Balloon Text"/>
    <w:basedOn w:val="1"/>
    <w:link w:val="30"/>
    <w:unhideWhenUsed/>
    <w:uiPriority w:val="0"/>
    <w:rPr>
      <w:sz w:val="18"/>
      <w:szCs w:val="18"/>
    </w:rPr>
  </w:style>
  <w:style w:type="paragraph" w:styleId="9">
    <w:name w:val="footer"/>
    <w:basedOn w:val="1"/>
    <w:link w:val="2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footnote text"/>
    <w:basedOn w:val="1"/>
    <w:link w:val="37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2">
    <w:name w:val="HTML Preformatted"/>
    <w:basedOn w:val="1"/>
    <w:link w:val="3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9">
    <w:name w:val="Table Grid"/>
    <w:basedOn w:val="18"/>
    <w:uiPriority w:val="59"/>
    <w:pPr/>
    <w:tblPr>
      <w:tblStyle w:val="1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2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4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5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6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7">
    <w:name w:val="p0"/>
    <w:basedOn w:val="1"/>
    <w:uiPriority w:val="0"/>
    <w:pPr>
      <w:widowControl/>
    </w:pPr>
    <w:rPr>
      <w:rFonts w:cs="宋体"/>
      <w:kern w:val="0"/>
      <w:szCs w:val="21"/>
    </w:rPr>
  </w:style>
  <w:style w:type="character" w:customStyle="1" w:styleId="28">
    <w:name w:val="页眉 Char"/>
    <w:basedOn w:val="14"/>
    <w:link w:val="10"/>
    <w:uiPriority w:val="99"/>
    <w:rPr>
      <w:sz w:val="18"/>
      <w:szCs w:val="18"/>
    </w:rPr>
  </w:style>
  <w:style w:type="character" w:customStyle="1" w:styleId="29">
    <w:name w:val="页脚 Char"/>
    <w:basedOn w:val="14"/>
    <w:link w:val="9"/>
    <w:uiPriority w:val="99"/>
    <w:rPr>
      <w:sz w:val="18"/>
      <w:szCs w:val="18"/>
    </w:rPr>
  </w:style>
  <w:style w:type="character" w:customStyle="1" w:styleId="30">
    <w:name w:val="批注框文本 Char"/>
    <w:basedOn w:val="14"/>
    <w:link w:val="8"/>
    <w:semiHidden/>
    <w:uiPriority w:val="0"/>
    <w:rPr>
      <w:sz w:val="18"/>
      <w:szCs w:val="18"/>
    </w:rPr>
  </w:style>
  <w:style w:type="character" w:customStyle="1" w:styleId="31">
    <w:name w:val="HTML 预设格式 Char"/>
    <w:basedOn w:val="14"/>
    <w:link w:val="12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2">
    <w:name w:val="批注文字 Char"/>
    <w:basedOn w:val="14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3">
    <w:name w:val="标题 1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4">
    <w:name w:val="标题 2 Char"/>
    <w:basedOn w:val="14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5">
    <w:name w:val="标题 3 Char"/>
    <w:basedOn w:val="14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6">
    <w:name w:val="脚注文本 Char"/>
    <w:basedOn w:val="14"/>
    <w:semiHidden/>
    <w:uiPriority w:val="99"/>
    <w:rPr>
      <w:kern w:val="2"/>
      <w:sz w:val="18"/>
      <w:szCs w:val="18"/>
    </w:rPr>
  </w:style>
  <w:style w:type="character" w:customStyle="1" w:styleId="37">
    <w:name w:val="脚注文本 Char1"/>
    <w:basedOn w:val="14"/>
    <w:link w:val="11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8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9">
    <w:name w:val="文档结构图 Char"/>
    <w:basedOn w:val="14"/>
    <w:link w:val="7"/>
    <w:uiPriority w:val="0"/>
    <w:rPr>
      <w:rFonts w:ascii="宋体"/>
      <w:sz w:val="18"/>
      <w:szCs w:val="18"/>
    </w:rPr>
  </w:style>
  <w:style w:type="character" w:customStyle="1" w:styleId="40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41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2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3">
    <w:name w:val="脚注文本 Char2"/>
    <w:basedOn w:val="14"/>
    <w:semiHidden/>
    <w:qFormat/>
    <w:uiPriority w:val="99"/>
    <w:rPr>
      <w:sz w:val="18"/>
      <w:szCs w:val="18"/>
    </w:rPr>
  </w:style>
  <w:style w:type="character" w:customStyle="1" w:styleId="44">
    <w:name w:val="批注主题 Char"/>
    <w:basedOn w:val="32"/>
    <w:link w:val="5"/>
    <w:semiHidden/>
    <w:uiPriority w:val="99"/>
    <w:rPr>
      <w:rFonts w:cs="黑体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</Words>
  <Characters>1824</Characters>
  <Lines>15</Lines>
  <Paragraphs>4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2020-02-27T06:09:00Z</dcterms:created>
  <dc:creator>裴建君2</dc:creator>
  <cp:lastModifiedBy>陈炅炜</cp:lastModifiedBy>
  <cp:lastPrinted>2020-09-08T02:25:00Z</cp:lastPrinted>
  <dcterms:modified xsi:type="dcterms:W3CDTF">2023-08-18T03:06:35Z</dcterms:modified>
  <dc:title>编号：57017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