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</w:t>
      </w:r>
      <w:r>
        <w:rPr>
          <w:rFonts w:ascii="Times New Roman" w:hAnsi="Times New Roman" w:eastAsia="黑体" w:cs="Times New Roman"/>
          <w:sz w:val="52"/>
          <w:szCs w:val="52"/>
          <w:lang w:val="en-US" w:eastAsia="zh-CN"/>
        </w:rPr>
        <w:t>外国银行分行头寸集中管理审批</w:t>
      </w:r>
      <w:r>
        <w:rPr>
          <w:rFonts w:ascii="Times New Roman" w:hAnsi="Times New Roman" w:eastAsia="黑体" w:cs="Times New Roman"/>
          <w:sz w:val="52"/>
          <w:szCs w:val="52"/>
        </w:rPr>
        <w:t>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both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陕西省分局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 xml:space="preserve">    </w:t>
      </w: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项目名称：银行、农村信用社、兑换机构及非金融机构等结汇、售汇业务市场准入、退出审批；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项目编号：57013；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本指南适用于“银行、农村信用社、兑换机构及非金融机构等结汇、售汇业务市场准入、退出审批”的申请和办理。</w:t>
      </w:r>
    </w:p>
    <w:p>
      <w:pPr>
        <w:tabs>
          <w:tab w:val="left" w:pos="3718"/>
        </w:tabs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  <w:r>
        <w:rPr>
          <w:rFonts w:ascii="Times New Roman" w:hAnsi="Times New Roman" w:eastAsia="黑体" w:cs="Times New Roman"/>
          <w:sz w:val="30"/>
          <w:szCs w:val="30"/>
        </w:rPr>
        <w:tab/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二十四条：“金融机构经营或者终止经营结汇、售汇业务，应当经外汇管理机关批准；经营或者终止经营其他外汇业务，应当按照职责分工经外汇管理机关或者金融业监督管理机构批准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（二）《中华人民共和国外汇管理条例》（国务院令第532号）第五十三条：“非金融机构经营结汇、售汇业务，应当由国务院外汇管理部门批准，具体管理办法由国务院外汇管理部门另行制定”。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四、外国银行分行头寸集中管理审批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2.《银行办理结售汇业务管理办法》（中国人民银行令[2014]第2号）；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3.《国家外汇管理局关于印发〈银行办理结售汇业务管理办法实施细则〉的通知》（汇发[2014]53号）。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国家外汇管理局陕西省分局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国家外汇管理局陕西省分局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申请人为外国银行分行。需同时符合以下条件：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1.获得其总行或地区总部授权。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2.具备对头寸实施集中管理的内部管理制度、会计核算办法以及技术支持。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Style w:val="20"/>
        <w:tblW w:w="84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35"/>
        <w:gridCol w:w="992"/>
        <w:gridCol w:w="457"/>
        <w:gridCol w:w="819"/>
        <w:gridCol w:w="457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总行同意实行头寸集中管理的授权文件。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45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金监局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对外资金融机构在境内常驻机构批准书。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45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对头寸实施集中管理的内部管理制度、会计核算办法以及技术支持情况说明。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外汇分局应实地走访集中管理行的营业场地，现场考察和验收其技术系统对该行头寸集中管理的支持情况。</w:t>
            </w: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申请人可通过窗口、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国家外汇管理局政务服务网上办理系统</w:t>
      </w:r>
      <w:r>
        <w:rPr>
          <w:rFonts w:ascii="Times New Roman" w:hAnsi="Times New Roman" w:eastAsia="仿宋_GB2312" w:cs="Times New Roman"/>
          <w:sz w:val="30"/>
          <w:szCs w:val="30"/>
        </w:rPr>
        <w:t>等方式提交材料。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3.不予受理的，出具不予受理通知书；受理的，出具受理通知书，进行审查报批；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4.不予许可的，出具不予许可通知书。许可的，向申请人出具正式公文。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一般程序：申请、受理、审查、出具正式公文。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20个工作日。办理过程中所需的现场验收等，不计入时限。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正式公文。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（十五）事项审查类型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（十六）办公地址和时间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办公地址：西安市高新路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49号，中国人民银行陕西省分行机关大楼804房间。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办公时间：工作日8:30-11:30,13:30-17:00。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（十七）禁止性要求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如符合上述条件，不存在不予许可的情况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（十八）咨询途径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电话：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029-88345436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网址：</w:t>
      </w:r>
      <w:r>
        <w:fldChar w:fldCharType="begin"/>
      </w:r>
      <w:r>
        <w:instrText xml:space="preserve"> HYPERLINK "http://www.safe.gov.cn" </w:instrText>
      </w:r>
      <w:r>
        <w:fldChar w:fldCharType="separate"/>
      </w:r>
      <w:r>
        <w:rPr>
          <w:rFonts w:ascii="Times New Roman" w:hAnsi="Times New Roman" w:eastAsia="仿宋_GB2312" w:cs="Times New Roman"/>
          <w:sz w:val="30"/>
        </w:rPr>
        <w:t>www.safe.gov.cn</w:t>
      </w:r>
      <w:r>
        <w:rPr>
          <w:rFonts w:ascii="Times New Roman" w:hAnsi="Times New Roman" w:eastAsia="仿宋_GB2312" w:cs="Times New Roman"/>
          <w:sz w:val="30"/>
        </w:rPr>
        <w:fldChar w:fldCharType="end"/>
      </w:r>
      <w:r>
        <w:rPr>
          <w:rFonts w:hint="eastAsia" w:ascii="Times New Roman" w:hAnsi="Times New Roman" w:eastAsia="仿宋_GB2312" w:cs="Times New Roman"/>
          <w:sz w:val="30"/>
          <w:lang w:val="en-US" w:eastAsia="zh-CN"/>
        </w:rPr>
        <w:t>/shaanxi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（十九）办理进程和结果公开查询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陕西省分局</w:t>
      </w:r>
      <w:r>
        <w:rPr>
          <w:rFonts w:ascii="Times New Roman" w:hAnsi="Times New Roman" w:eastAsia="仿宋_GB2312" w:cs="Times New Roman"/>
          <w:sz w:val="30"/>
          <w:szCs w:val="30"/>
        </w:rPr>
        <w:t>咨询、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进度查询、</w:t>
      </w:r>
      <w:r>
        <w:rPr>
          <w:rFonts w:ascii="Times New Roman" w:hAnsi="Times New Roman" w:eastAsia="仿宋_GB2312" w:cs="Times New Roman"/>
          <w:sz w:val="30"/>
          <w:szCs w:val="30"/>
        </w:rPr>
        <w:t>监督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和</w:t>
      </w:r>
      <w:r>
        <w:rPr>
          <w:rFonts w:ascii="Times New Roman" w:hAnsi="Times New Roman" w:eastAsia="仿宋_GB2312" w:cs="Times New Roman"/>
          <w:sz w:val="30"/>
          <w:szCs w:val="30"/>
        </w:rPr>
        <w:t>投诉等可通过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电话、</w:t>
      </w:r>
      <w:r>
        <w:rPr>
          <w:rFonts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陕西省分局</w:t>
      </w:r>
      <w:r>
        <w:rPr>
          <w:rFonts w:ascii="Times New Roman" w:hAnsi="Times New Roman" w:eastAsia="仿宋_GB2312" w:cs="Times New Roman"/>
          <w:sz w:val="30"/>
          <w:szCs w:val="30"/>
        </w:rPr>
        <w:t>官方互联网站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咨询反馈</w:t>
      </w:r>
      <w:r>
        <w:rPr>
          <w:rFonts w:ascii="Times New Roman" w:hAnsi="Times New Roman" w:eastAsia="仿宋_GB2312" w:cs="Times New Roman"/>
          <w:sz w:val="30"/>
          <w:szCs w:val="30"/>
        </w:rPr>
        <w:t>栏目进行。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电话：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029-88345436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网址：</w:t>
      </w:r>
      <w:r>
        <w:fldChar w:fldCharType="begin"/>
      </w:r>
      <w:r>
        <w:instrText xml:space="preserve"> HYPERLINK "http://www.safe.gov.cn" </w:instrText>
      </w:r>
      <w:r>
        <w:fldChar w:fldCharType="separate"/>
      </w:r>
      <w:r>
        <w:rPr>
          <w:rFonts w:ascii="Times New Roman" w:hAnsi="Times New Roman" w:eastAsia="仿宋_GB2312" w:cs="Times New Roman"/>
          <w:sz w:val="30"/>
        </w:rPr>
        <w:t>www.safe.gov.cn</w:t>
      </w:r>
      <w:r>
        <w:rPr>
          <w:rFonts w:ascii="Times New Roman" w:hAnsi="Times New Roman" w:eastAsia="仿宋_GB2312" w:cs="Times New Roman"/>
          <w:sz w:val="30"/>
        </w:rPr>
        <w:fldChar w:fldCharType="end"/>
      </w:r>
      <w:r>
        <w:rPr>
          <w:rFonts w:hint="eastAsia" w:ascii="Times New Roman" w:hAnsi="Times New Roman" w:eastAsia="仿宋_GB2312" w:cs="Times New Roman"/>
          <w:sz w:val="30"/>
          <w:lang w:val="en-US" w:eastAsia="zh-CN"/>
        </w:rPr>
        <w:t>/shaanxi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通过国家外汇管理局政务服务网上办理系统提交申请的，可在该系统内进行查询。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（二十）监督投诉渠道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陕西省分局</w:t>
      </w:r>
      <w:r>
        <w:rPr>
          <w:rFonts w:ascii="Times New Roman" w:hAnsi="Times New Roman" w:eastAsia="仿宋_GB2312" w:cs="Times New Roman"/>
          <w:sz w:val="30"/>
          <w:szCs w:val="30"/>
        </w:rPr>
        <w:t>咨询、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进度查询、</w:t>
      </w:r>
      <w:r>
        <w:rPr>
          <w:rFonts w:ascii="Times New Roman" w:hAnsi="Times New Roman" w:eastAsia="仿宋_GB2312" w:cs="Times New Roman"/>
          <w:sz w:val="30"/>
          <w:szCs w:val="30"/>
        </w:rPr>
        <w:t>监督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和</w:t>
      </w:r>
      <w:r>
        <w:rPr>
          <w:rFonts w:ascii="Times New Roman" w:hAnsi="Times New Roman" w:eastAsia="仿宋_GB2312" w:cs="Times New Roman"/>
          <w:sz w:val="30"/>
          <w:szCs w:val="30"/>
        </w:rPr>
        <w:t>投诉等可通过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电话、</w:t>
      </w:r>
      <w:r>
        <w:rPr>
          <w:rFonts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陕西省分局</w:t>
      </w:r>
      <w:r>
        <w:rPr>
          <w:rFonts w:ascii="Times New Roman" w:hAnsi="Times New Roman" w:eastAsia="仿宋_GB2312" w:cs="Times New Roman"/>
          <w:sz w:val="30"/>
          <w:szCs w:val="30"/>
        </w:rPr>
        <w:t>官方互联网站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咨询反馈</w:t>
      </w:r>
      <w:r>
        <w:rPr>
          <w:rFonts w:ascii="Times New Roman" w:hAnsi="Times New Roman" w:eastAsia="仿宋_GB2312" w:cs="Times New Roman"/>
          <w:sz w:val="30"/>
          <w:szCs w:val="30"/>
        </w:rPr>
        <w:t>栏目进行。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电话：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029-88150690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网址：</w:t>
      </w:r>
      <w:r>
        <w:fldChar w:fldCharType="begin"/>
      </w:r>
      <w:r>
        <w:instrText xml:space="preserve"> HYPERLINK "http://www.safe.gov.cn" </w:instrText>
      </w:r>
      <w:r>
        <w:fldChar w:fldCharType="separate"/>
      </w:r>
      <w:r>
        <w:rPr>
          <w:rFonts w:ascii="Times New Roman" w:hAnsi="Times New Roman" w:eastAsia="仿宋_GB2312" w:cs="Times New Roman"/>
          <w:sz w:val="30"/>
        </w:rPr>
        <w:t>www.safe.gov.cn</w:t>
      </w:r>
      <w:r>
        <w:rPr>
          <w:rFonts w:ascii="Times New Roman" w:hAnsi="Times New Roman" w:eastAsia="仿宋_GB2312" w:cs="Times New Roman"/>
          <w:sz w:val="30"/>
        </w:rPr>
        <w:fldChar w:fldCharType="end"/>
      </w:r>
      <w:r>
        <w:rPr>
          <w:rFonts w:hint="eastAsia" w:ascii="Times New Roman" w:hAnsi="Times New Roman" w:eastAsia="仿宋_GB2312" w:cs="Times New Roman"/>
          <w:sz w:val="30"/>
          <w:lang w:val="en-US" w:eastAsia="zh-CN"/>
        </w:rPr>
        <w:t>/shaanxi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（二十一）申请材料示范文本</w:t>
      </w:r>
    </w:p>
    <w:p>
      <w:pPr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无固定格式。有关内容要求详见（六）申请材料。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（二十二）常见问题解答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审批时限在20个工作日以内。但办理过程中所需的现场验收等，不计入时限。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（二十三）常见错误示例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申请材料不完全符合规定，例如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金监局</w:t>
      </w:r>
      <w:r>
        <w:rPr>
          <w:rFonts w:ascii="Times New Roman" w:hAnsi="Times New Roman" w:eastAsia="仿宋_GB2312" w:cs="Times New Roman"/>
          <w:sz w:val="30"/>
          <w:szCs w:val="30"/>
        </w:rPr>
        <w:t>对外资金融机构在境内常驻机构批准书未加盖企业公章等。</w:t>
      </w:r>
    </w:p>
    <w:p>
      <w:pPr>
        <w:ind w:right="300" w:firstLine="6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group id="Group 521" o:spid="_x0000_s1026" style="position:absolute;left:0;margin-left:-39.65pt;margin-top:26.1pt;height:455.7pt;width:459.7pt;rotation:0f;z-index:251658240;" coordorigin="1007,3210" coordsize="9194,9114">
            <o:lock v:ext="edit" position="f" selection="f" grouping="f" rotation="f" cropping="f" text="f" aspectratio="f"/>
            <v:shape id="Straight Connector 522" o:spid="_x0000_s1027" type="#_x0000_t32" style="position:absolute;left:2612;top:4693;height:1468;width:17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Straight Connector 523" o:spid="_x0000_s1028" type="#_x0000_t32" style="position:absolute;left:3667;top:6413;height:0;width:1172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Straight Connector 524" o:spid="_x0000_s1029" type="#_x0000_t32" style="position:absolute;left:3667;top:7217;height:0;width:1172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Straight Connector 525" o:spid="_x0000_s1030" type="#_x0000_t32" style="position:absolute;left:8191;top:5266;flip:y;height:895;width:1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Straight Connector 526" o:spid="_x0000_s1031" type="#_x0000_t32" style="position:absolute;left:2629;top:4981;flip:x;height:1;width:4643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Straight Connector 527" o:spid="_x0000_s1032" type="#_x0000_t32" style="position:absolute;left:5392;top:9276;height:437;width:0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Straight Connector 528" o:spid="_x0000_s1033" type="#_x0000_t32" style="position:absolute;left:6547;top:10247;height:905;width:17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Straight Connector 529" o:spid="_x0000_s1034" type="#_x0000_t32" style="position:absolute;left:4432;top:10247;height:905;width:1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Straight Connector 530" o:spid="_x0000_s1035" type="#_x0000_t32" style="position:absolute;left:2612;top:7450;height:1391;width:0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Straight Connector 531" o:spid="_x0000_s1036" type="#_x0000_t32" style="position:absolute;left:2612;top:8841;height:0;width:822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Flowchart: Decision 532" o:spid="_x0000_s1037" type="#_x0000_t110" style="position:absolute;left:1007;top:5891;height:1889;width:327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接件并当场（或5个工作日）作出是否受理决定</w:t>
                    </w:r>
                  </w:p>
                  <w:p/>
                </w:txbxContent>
              </v:textbox>
            </v:shape>
            <v:rect id="Rectangle 533" o:spid="_x0000_s1038" style="position:absolute;left:7272;top:4470;height:796;width:2094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申请人补全材料</w:t>
                    </w:r>
                  </w:p>
                  <w:p/>
                </w:txbxContent>
              </v:textbox>
            </v:rect>
            <v:rect id="Rectangle 534" o:spid="_x0000_s1039" style="position:absolute;left:4839;top:6161;height:500;width:5362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  <w:p/>
                </w:txbxContent>
              </v:textbox>
            </v:rect>
            <v:rect id="Rectangle 535" o:spid="_x0000_s1040" style="position:absolute;left:4839;top:7013;height:906;width:5362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  <w:p/>
                </w:txbxContent>
              </v:textbox>
            </v:rect>
            <v:rect id="Rectangle 536" o:spid="_x0000_s1041" style="position:absolute;left:3433;top:8673;height:603;width:4104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依法应予受理，出具受理单</w:t>
                    </w:r>
                  </w:p>
                  <w:p/>
                </w:txbxContent>
              </v:textbox>
            </v:rect>
            <v:rect id="Rectangle 537" o:spid="_x0000_s1042" style="position:absolute;left:3434;top:9713;height:534;width:4252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  <w:p/>
                </w:txbxContent>
              </v:textbox>
            </v:rect>
            <v:rect id="Rectangle 538" o:spid="_x0000_s1043" style="position:absolute;left:1771;top:3210;height:1483;width:251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spacing w:before="34"/>
                      <w:rPr>
                        <w:rFonts w:ascii="宋体" w:hAnsi="宋体" w:cs="宋体"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szCs w:val="21"/>
                      </w:rPr>
                      <w:t>申请人以现场、邮寄、国家外汇管理局政务服务网上办理系统等提交材料提出书面申请，并提交材料</w:t>
                    </w:r>
                  </w:p>
                  <w:p/>
                </w:txbxContent>
              </v:textbox>
            </v:rect>
            <v:rect id="Rectangle 539" o:spid="_x0000_s1044" style="position:absolute;left:3433;top:11152;height:1172;width:1747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予以许可，向申请人出具正式公文或备案表</w:t>
                    </w:r>
                  </w:p>
                  <w:p/>
                </w:txbxContent>
              </v:textbox>
            </v:rect>
            <v:rect id="Rectangle 540" o:spid="_x0000_s1045" style="position:absolute;left:5790;top:11152;height:1172;width:1747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依法作出不予许可决定，并送达</w:t>
                    </w:r>
                  </w:p>
                  <w:p/>
                </w:txbxContent>
              </v:textbox>
            </v:rect>
          </v:group>
        </w:pict>
      </w:r>
    </w:p>
    <w:sectPr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344D"/>
    <w:rsid w:val="000750C8"/>
    <w:rsid w:val="00080630"/>
    <w:rsid w:val="00084C01"/>
    <w:rsid w:val="00091661"/>
    <w:rsid w:val="00092D53"/>
    <w:rsid w:val="00096CBB"/>
    <w:rsid w:val="00097F7B"/>
    <w:rsid w:val="000B39F2"/>
    <w:rsid w:val="000B6901"/>
    <w:rsid w:val="000B728B"/>
    <w:rsid w:val="000C15B3"/>
    <w:rsid w:val="000C1D9D"/>
    <w:rsid w:val="000C2B33"/>
    <w:rsid w:val="000C6C10"/>
    <w:rsid w:val="000D1995"/>
    <w:rsid w:val="000D7478"/>
    <w:rsid w:val="000E4F85"/>
    <w:rsid w:val="0012271F"/>
    <w:rsid w:val="00127A16"/>
    <w:rsid w:val="00130519"/>
    <w:rsid w:val="00134FCE"/>
    <w:rsid w:val="00135BEE"/>
    <w:rsid w:val="0014667A"/>
    <w:rsid w:val="00154B58"/>
    <w:rsid w:val="00157C64"/>
    <w:rsid w:val="00157E81"/>
    <w:rsid w:val="00170126"/>
    <w:rsid w:val="00177059"/>
    <w:rsid w:val="001771B9"/>
    <w:rsid w:val="00181D3E"/>
    <w:rsid w:val="00196FAE"/>
    <w:rsid w:val="001A3E49"/>
    <w:rsid w:val="001A72AA"/>
    <w:rsid w:val="001B1E2C"/>
    <w:rsid w:val="001B4EB3"/>
    <w:rsid w:val="001C44C7"/>
    <w:rsid w:val="001D65A2"/>
    <w:rsid w:val="001E1407"/>
    <w:rsid w:val="001F4BD4"/>
    <w:rsid w:val="001F7297"/>
    <w:rsid w:val="00205D07"/>
    <w:rsid w:val="00212F39"/>
    <w:rsid w:val="00217116"/>
    <w:rsid w:val="00231EED"/>
    <w:rsid w:val="00233841"/>
    <w:rsid w:val="00235F24"/>
    <w:rsid w:val="00236579"/>
    <w:rsid w:val="002417D2"/>
    <w:rsid w:val="00241FE8"/>
    <w:rsid w:val="0024527E"/>
    <w:rsid w:val="00253F7B"/>
    <w:rsid w:val="00263773"/>
    <w:rsid w:val="00263B1F"/>
    <w:rsid w:val="00291C17"/>
    <w:rsid w:val="0029313A"/>
    <w:rsid w:val="002B0B1C"/>
    <w:rsid w:val="002B598D"/>
    <w:rsid w:val="002B61C1"/>
    <w:rsid w:val="002C3539"/>
    <w:rsid w:val="002E1323"/>
    <w:rsid w:val="002E6E2B"/>
    <w:rsid w:val="002F3019"/>
    <w:rsid w:val="002F3868"/>
    <w:rsid w:val="00302119"/>
    <w:rsid w:val="00302E87"/>
    <w:rsid w:val="003071B7"/>
    <w:rsid w:val="00310261"/>
    <w:rsid w:val="00325D3D"/>
    <w:rsid w:val="00343044"/>
    <w:rsid w:val="00344B01"/>
    <w:rsid w:val="00353AC4"/>
    <w:rsid w:val="003616B4"/>
    <w:rsid w:val="003A57B2"/>
    <w:rsid w:val="003C7132"/>
    <w:rsid w:val="003D77A5"/>
    <w:rsid w:val="003E6BF6"/>
    <w:rsid w:val="003F221D"/>
    <w:rsid w:val="003F3097"/>
    <w:rsid w:val="00402AE8"/>
    <w:rsid w:val="00405FE6"/>
    <w:rsid w:val="004078F7"/>
    <w:rsid w:val="004105BC"/>
    <w:rsid w:val="00421C27"/>
    <w:rsid w:val="00440A1F"/>
    <w:rsid w:val="00443603"/>
    <w:rsid w:val="00443604"/>
    <w:rsid w:val="004501EA"/>
    <w:rsid w:val="00450FD3"/>
    <w:rsid w:val="00460458"/>
    <w:rsid w:val="00467479"/>
    <w:rsid w:val="0046792D"/>
    <w:rsid w:val="004767DF"/>
    <w:rsid w:val="00493CCC"/>
    <w:rsid w:val="004967FB"/>
    <w:rsid w:val="004A0218"/>
    <w:rsid w:val="004A2436"/>
    <w:rsid w:val="004A2BF8"/>
    <w:rsid w:val="004A7840"/>
    <w:rsid w:val="004B545A"/>
    <w:rsid w:val="004B7E80"/>
    <w:rsid w:val="004C457E"/>
    <w:rsid w:val="004C48D5"/>
    <w:rsid w:val="004C72D2"/>
    <w:rsid w:val="004D03B7"/>
    <w:rsid w:val="004D1436"/>
    <w:rsid w:val="004D57AE"/>
    <w:rsid w:val="004E6163"/>
    <w:rsid w:val="005015D2"/>
    <w:rsid w:val="005056D4"/>
    <w:rsid w:val="00526B2B"/>
    <w:rsid w:val="0053236D"/>
    <w:rsid w:val="005362B0"/>
    <w:rsid w:val="00542447"/>
    <w:rsid w:val="00557EB9"/>
    <w:rsid w:val="00564312"/>
    <w:rsid w:val="005A2981"/>
    <w:rsid w:val="005C2087"/>
    <w:rsid w:val="005C3E89"/>
    <w:rsid w:val="005C6937"/>
    <w:rsid w:val="005C7F02"/>
    <w:rsid w:val="005F0A86"/>
    <w:rsid w:val="005F144A"/>
    <w:rsid w:val="005F1C00"/>
    <w:rsid w:val="00601B70"/>
    <w:rsid w:val="0061621E"/>
    <w:rsid w:val="00630AA8"/>
    <w:rsid w:val="00630B2E"/>
    <w:rsid w:val="00632EDB"/>
    <w:rsid w:val="00643D2A"/>
    <w:rsid w:val="00643DFB"/>
    <w:rsid w:val="006476F4"/>
    <w:rsid w:val="00664E11"/>
    <w:rsid w:val="00673B30"/>
    <w:rsid w:val="00696E5D"/>
    <w:rsid w:val="006B5B86"/>
    <w:rsid w:val="006C5908"/>
    <w:rsid w:val="006C633E"/>
    <w:rsid w:val="006D12C0"/>
    <w:rsid w:val="006D56AB"/>
    <w:rsid w:val="006D734F"/>
    <w:rsid w:val="006E02C0"/>
    <w:rsid w:val="006E043F"/>
    <w:rsid w:val="006E4695"/>
    <w:rsid w:val="006E4B8B"/>
    <w:rsid w:val="006E5901"/>
    <w:rsid w:val="006E5E95"/>
    <w:rsid w:val="006F1044"/>
    <w:rsid w:val="0071091C"/>
    <w:rsid w:val="00714961"/>
    <w:rsid w:val="007166B6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1423"/>
    <w:rsid w:val="0077269F"/>
    <w:rsid w:val="00785F45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71B6"/>
    <w:rsid w:val="00847DB3"/>
    <w:rsid w:val="00851521"/>
    <w:rsid w:val="0085686A"/>
    <w:rsid w:val="00860878"/>
    <w:rsid w:val="008612BB"/>
    <w:rsid w:val="008731FF"/>
    <w:rsid w:val="0088294A"/>
    <w:rsid w:val="0089282A"/>
    <w:rsid w:val="008A4538"/>
    <w:rsid w:val="008A68DF"/>
    <w:rsid w:val="008A704B"/>
    <w:rsid w:val="008B08D2"/>
    <w:rsid w:val="008B4EE5"/>
    <w:rsid w:val="008B5807"/>
    <w:rsid w:val="008C3178"/>
    <w:rsid w:val="008D5CA5"/>
    <w:rsid w:val="008D5FA0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717A5"/>
    <w:rsid w:val="00980F02"/>
    <w:rsid w:val="00991B77"/>
    <w:rsid w:val="00997523"/>
    <w:rsid w:val="009A0C5D"/>
    <w:rsid w:val="009B62C9"/>
    <w:rsid w:val="009B6374"/>
    <w:rsid w:val="009B6562"/>
    <w:rsid w:val="009C4672"/>
    <w:rsid w:val="009C491B"/>
    <w:rsid w:val="009D0911"/>
    <w:rsid w:val="009D24F8"/>
    <w:rsid w:val="009D688C"/>
    <w:rsid w:val="009E35E3"/>
    <w:rsid w:val="009F7A36"/>
    <w:rsid w:val="00A249C2"/>
    <w:rsid w:val="00A24FAB"/>
    <w:rsid w:val="00A301E7"/>
    <w:rsid w:val="00A42E69"/>
    <w:rsid w:val="00A45CA7"/>
    <w:rsid w:val="00A51415"/>
    <w:rsid w:val="00A6014E"/>
    <w:rsid w:val="00A60356"/>
    <w:rsid w:val="00A766FE"/>
    <w:rsid w:val="00A81DF1"/>
    <w:rsid w:val="00A90EF3"/>
    <w:rsid w:val="00AA7717"/>
    <w:rsid w:val="00AB131E"/>
    <w:rsid w:val="00AB214C"/>
    <w:rsid w:val="00AB644F"/>
    <w:rsid w:val="00AC3F5E"/>
    <w:rsid w:val="00AE7ACF"/>
    <w:rsid w:val="00AF50B2"/>
    <w:rsid w:val="00B06409"/>
    <w:rsid w:val="00B17D66"/>
    <w:rsid w:val="00B31FD9"/>
    <w:rsid w:val="00B35D3A"/>
    <w:rsid w:val="00B422F1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E7639"/>
    <w:rsid w:val="00BF4EF0"/>
    <w:rsid w:val="00C02E44"/>
    <w:rsid w:val="00C0337D"/>
    <w:rsid w:val="00C147D2"/>
    <w:rsid w:val="00C2075F"/>
    <w:rsid w:val="00C23799"/>
    <w:rsid w:val="00C274C9"/>
    <w:rsid w:val="00C31E02"/>
    <w:rsid w:val="00C54291"/>
    <w:rsid w:val="00C672C3"/>
    <w:rsid w:val="00C712B2"/>
    <w:rsid w:val="00C92BA0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CF1403"/>
    <w:rsid w:val="00D003EC"/>
    <w:rsid w:val="00D01626"/>
    <w:rsid w:val="00D02F0F"/>
    <w:rsid w:val="00D33A4D"/>
    <w:rsid w:val="00D33F76"/>
    <w:rsid w:val="00D41F5E"/>
    <w:rsid w:val="00D43DC0"/>
    <w:rsid w:val="00D54E56"/>
    <w:rsid w:val="00D6407D"/>
    <w:rsid w:val="00D93E78"/>
    <w:rsid w:val="00DC6E91"/>
    <w:rsid w:val="00DC7514"/>
    <w:rsid w:val="00DD3845"/>
    <w:rsid w:val="00DF5203"/>
    <w:rsid w:val="00E02616"/>
    <w:rsid w:val="00E1687A"/>
    <w:rsid w:val="00E16E24"/>
    <w:rsid w:val="00E20A2E"/>
    <w:rsid w:val="00E277DE"/>
    <w:rsid w:val="00E27EE9"/>
    <w:rsid w:val="00E3239D"/>
    <w:rsid w:val="00E3254B"/>
    <w:rsid w:val="00E3439B"/>
    <w:rsid w:val="00E42C5F"/>
    <w:rsid w:val="00E65A1B"/>
    <w:rsid w:val="00E72F1F"/>
    <w:rsid w:val="00E73A08"/>
    <w:rsid w:val="00E8188F"/>
    <w:rsid w:val="00E841A2"/>
    <w:rsid w:val="00E84DF6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2678C"/>
    <w:rsid w:val="00F27B38"/>
    <w:rsid w:val="00F40278"/>
    <w:rsid w:val="00F41832"/>
    <w:rsid w:val="00F56988"/>
    <w:rsid w:val="00F620FB"/>
    <w:rsid w:val="00F6571F"/>
    <w:rsid w:val="00F815BC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  <w:rsid w:val="109B03CC"/>
    <w:rsid w:val="18D347C9"/>
    <w:rsid w:val="2251345B"/>
    <w:rsid w:val="26C47A7A"/>
    <w:rsid w:val="452025F6"/>
    <w:rsid w:val="52210FA9"/>
    <w:rsid w:val="606232AE"/>
    <w:rsid w:val="610A27C2"/>
    <w:rsid w:val="69744E10"/>
    <w:rsid w:val="6E9D7053"/>
    <w:rsid w:val="709870D8"/>
    <w:rsid w:val="72804A68"/>
    <w:rsid w:val="72BA00C5"/>
    <w:rsid w:val="75D02BD6"/>
    <w:rsid w:val="786D292D"/>
    <w:rsid w:val="79A4482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522"/>
        <o:r id="V:Rule2" type="connector" idref="#Straight Connector 523"/>
        <o:r id="V:Rule3" type="connector" idref="#Straight Connector 524"/>
        <o:r id="V:Rule4" type="connector" idref="#Straight Connector 525"/>
        <o:r id="V:Rule5" type="connector" idref="#Straight Connector 526"/>
        <o:r id="V:Rule6" type="connector" idref="#Straight Connector 527"/>
        <o:r id="V:Rule7" type="connector" idref="#Straight Connector 528"/>
        <o:r id="V:Rule8" type="connector" idref="#Straight Connector 529"/>
        <o:r id="V:Rule9" type="connector" idref="#Straight Connector 530"/>
        <o:r id="V:Rule10" type="connector" idref="#Straight Connector 531"/>
      </o:rules>
    </o:shapelayout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5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6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7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4">
    <w:name w:val="Default Paragraph Font"/>
    <w:unhideWhenUsed/>
    <w:uiPriority w:val="1"/>
  </w:style>
  <w:style w:type="table" w:default="1" w:styleId="20">
    <w:name w:val="Normal Table"/>
    <w:unhideWhenUsed/>
    <w:qFormat/>
    <w:uiPriority w:val="99"/>
    <w:tblPr>
      <w:tblStyle w:val="2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41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4"/>
    <w:unhideWhenUsed/>
    <w:qFormat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ody Text"/>
    <w:basedOn w:val="1"/>
    <w:link w:val="46"/>
    <w:qFormat/>
    <w:uiPriority w:val="1"/>
    <w:pPr>
      <w:spacing w:before="190"/>
      <w:ind w:left="720"/>
      <w:jc w:val="left"/>
    </w:pPr>
    <w:rPr>
      <w:rFonts w:ascii="仿宋_GB2312" w:hAnsi="仿宋_GB2312" w:eastAsia="仿宋_GB2312" w:cs="Times New Roman"/>
      <w:kern w:val="0"/>
      <w:sz w:val="30"/>
      <w:szCs w:val="30"/>
      <w:lang w:eastAsia="en-US"/>
    </w:rPr>
  </w:style>
  <w:style w:type="paragraph" w:styleId="8">
    <w:name w:val="Balloon Text"/>
    <w:basedOn w:val="1"/>
    <w:link w:val="32"/>
    <w:unhideWhenUsed/>
    <w:uiPriority w:val="0"/>
    <w:rPr>
      <w:sz w:val="18"/>
      <w:szCs w:val="18"/>
    </w:rPr>
  </w:style>
  <w:style w:type="paragraph" w:styleId="9">
    <w:name w:val="footer"/>
    <w:basedOn w:val="1"/>
    <w:link w:val="3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3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9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2">
    <w:name w:val="HTML Preformatted"/>
    <w:basedOn w:val="1"/>
    <w:link w:val="33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FollowedHyperlink"/>
    <w:basedOn w:val="14"/>
    <w:unhideWhenUsed/>
    <w:uiPriority w:val="99"/>
    <w:rPr>
      <w:color w:val="800080"/>
      <w:u w:val="none"/>
    </w:rPr>
  </w:style>
  <w:style w:type="character" w:styleId="16">
    <w:name w:val="Emphasis"/>
    <w:basedOn w:val="14"/>
    <w:qFormat/>
    <w:uiPriority w:val="20"/>
    <w:rPr>
      <w:color w:val="CC0000"/>
    </w:rPr>
  </w:style>
  <w:style w:type="character" w:styleId="17">
    <w:name w:val="Hyperlink"/>
    <w:basedOn w:val="14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8">
    <w:name w:val="annotation reference"/>
    <w:basedOn w:val="14"/>
    <w:unhideWhenUsed/>
    <w:qFormat/>
    <w:uiPriority w:val="0"/>
    <w:rPr>
      <w:sz w:val="21"/>
      <w:szCs w:val="21"/>
    </w:rPr>
  </w:style>
  <w:style w:type="character" w:styleId="19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21">
    <w:name w:val="Table Grid"/>
    <w:basedOn w:val="20"/>
    <w:uiPriority w:val="59"/>
    <w:pPr/>
    <w:tblPr>
      <w:tblStyle w:val="20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22">
    <w:name w:val="List Paragraph"/>
    <w:basedOn w:val="1"/>
    <w:qFormat/>
    <w:uiPriority w:val="34"/>
    <w:pPr>
      <w:ind w:firstLine="420" w:firstLineChars="200"/>
    </w:pPr>
  </w:style>
  <w:style w:type="paragraph" w:customStyle="1" w:styleId="2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4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6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7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8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9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30">
    <w:name w:val="页眉 Char"/>
    <w:basedOn w:val="14"/>
    <w:link w:val="10"/>
    <w:uiPriority w:val="99"/>
    <w:rPr>
      <w:sz w:val="18"/>
      <w:szCs w:val="18"/>
    </w:rPr>
  </w:style>
  <w:style w:type="character" w:customStyle="1" w:styleId="31">
    <w:name w:val="页脚 Char"/>
    <w:basedOn w:val="14"/>
    <w:link w:val="9"/>
    <w:uiPriority w:val="99"/>
    <w:rPr>
      <w:sz w:val="18"/>
      <w:szCs w:val="18"/>
    </w:rPr>
  </w:style>
  <w:style w:type="character" w:customStyle="1" w:styleId="32">
    <w:name w:val="批注框文本 Char"/>
    <w:basedOn w:val="14"/>
    <w:link w:val="8"/>
    <w:semiHidden/>
    <w:uiPriority w:val="0"/>
    <w:rPr>
      <w:sz w:val="18"/>
      <w:szCs w:val="18"/>
    </w:rPr>
  </w:style>
  <w:style w:type="character" w:customStyle="1" w:styleId="33">
    <w:name w:val="HTML 预设格式 Char"/>
    <w:basedOn w:val="14"/>
    <w:link w:val="12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4">
    <w:name w:val="批注文字 Char"/>
    <w:basedOn w:val="14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5">
    <w:name w:val="标题 1 Char"/>
    <w:basedOn w:val="14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6">
    <w:name w:val="标题 2 Char"/>
    <w:basedOn w:val="14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7">
    <w:name w:val="标题 3 Char"/>
    <w:basedOn w:val="14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8">
    <w:name w:val="脚注文本 Char"/>
    <w:basedOn w:val="14"/>
    <w:semiHidden/>
    <w:qFormat/>
    <w:uiPriority w:val="99"/>
    <w:rPr>
      <w:kern w:val="2"/>
      <w:sz w:val="18"/>
      <w:szCs w:val="18"/>
    </w:rPr>
  </w:style>
  <w:style w:type="character" w:customStyle="1" w:styleId="39">
    <w:name w:val="脚注文本 Char1"/>
    <w:basedOn w:val="14"/>
    <w:link w:val="11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40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41">
    <w:name w:val="文档结构图 Char"/>
    <w:basedOn w:val="14"/>
    <w:link w:val="5"/>
    <w:qFormat/>
    <w:uiPriority w:val="0"/>
    <w:rPr>
      <w:rFonts w:ascii="宋体"/>
      <w:sz w:val="18"/>
      <w:szCs w:val="18"/>
    </w:rPr>
  </w:style>
  <w:style w:type="character" w:customStyle="1" w:styleId="42">
    <w:name w:val="批注文字 Char1"/>
    <w:basedOn w:val="14"/>
    <w:semiHidden/>
    <w:qFormat/>
    <w:uiPriority w:val="99"/>
    <w:rPr>
      <w:kern w:val="2"/>
      <w:sz w:val="21"/>
      <w:szCs w:val="22"/>
    </w:rPr>
  </w:style>
  <w:style w:type="character" w:customStyle="1" w:styleId="43">
    <w:name w:val="Intense Emphasis"/>
    <w:basedOn w:val="14"/>
    <w:qFormat/>
    <w:uiPriority w:val="21"/>
    <w:rPr>
      <w:b/>
      <w:bCs/>
      <w:i/>
      <w:iCs/>
      <w:color w:val="4F81BD"/>
    </w:rPr>
  </w:style>
  <w:style w:type="character" w:customStyle="1" w:styleId="44">
    <w:name w:val="文档结构图 Char1"/>
    <w:basedOn w:val="14"/>
    <w:semiHidden/>
    <w:qFormat/>
    <w:uiPriority w:val="99"/>
    <w:rPr>
      <w:rFonts w:ascii="宋体" w:eastAsia="宋体"/>
      <w:sz w:val="18"/>
      <w:szCs w:val="18"/>
    </w:rPr>
  </w:style>
  <w:style w:type="character" w:customStyle="1" w:styleId="45">
    <w:name w:val="脚注文本 Char2"/>
    <w:basedOn w:val="14"/>
    <w:semiHidden/>
    <w:qFormat/>
    <w:uiPriority w:val="99"/>
    <w:rPr>
      <w:sz w:val="18"/>
      <w:szCs w:val="18"/>
    </w:rPr>
  </w:style>
  <w:style w:type="character" w:customStyle="1" w:styleId="46">
    <w:name w:val="正文文本 Char"/>
    <w:basedOn w:val="14"/>
    <w:link w:val="7"/>
    <w:qFormat/>
    <w:uiPriority w:val="1"/>
    <w:rPr>
      <w:rFonts w:ascii="仿宋_GB2312" w:hAnsi="仿宋_GB2312" w:eastAsia="仿宋_GB2312" w:cs="Times New Roman"/>
      <w:kern w:val="0"/>
      <w:sz w:val="30"/>
      <w:szCs w:val="30"/>
      <w:lang w:eastAsia="en-US"/>
    </w:rPr>
  </w:style>
  <w:style w:type="character" w:customStyle="1" w:styleId="47">
    <w:name w:val="mc_2"/>
    <w:basedOn w:val="14"/>
    <w:uiPriority w:val="0"/>
    <w:rPr/>
  </w:style>
  <w:style w:type="character" w:customStyle="1" w:styleId="48">
    <w:name w:val="mc_1"/>
    <w:basedOn w:val="14"/>
    <w:uiPriority w:val="0"/>
    <w:rPr/>
  </w:style>
  <w:style w:type="character" w:customStyle="1" w:styleId="49">
    <w:name w:val="mc_3"/>
    <w:basedOn w:val="14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301</Words>
  <Characters>1716</Characters>
  <Lines>14</Lines>
  <Paragraphs>4</Paragraphs>
  <ScaleCrop>false</ScaleCrop>
  <LinksUpToDate>false</LinksUpToDate>
  <CharactersWithSpaces>0</CharactersWithSpaces>
  <Application>WPS Office 专业版_9.1.0.5019_F1E327BC-269C-435d-A152-05C5408002CA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2020-02-17T02:50:00Z</dcterms:created>
  <dc:creator>裴建君2</dc:creator>
  <cp:lastModifiedBy>陈炅炜</cp:lastModifiedBy>
  <cp:lastPrinted>2017-11-24T00:22:00Z</cp:lastPrinted>
  <dcterms:modified xsi:type="dcterms:W3CDTF">2023-08-18T07:53:56Z</dcterms:modified>
  <dc:title>“外国银行分行头寸集中管理审批”行政审批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2052-9.1.0.5019</vt:lpwstr>
  </property>
</Properties>
</file>