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p>
    <w:p>
      <w:pPr>
        <w:ind w:right="300"/>
        <w:jc w:val="center"/>
        <w:rPr>
          <w:rFonts w:ascii="Times New Roman" w:hAnsi="Times New Roman" w:eastAsia="黑体" w:cs="Times New Roman"/>
          <w:sz w:val="48"/>
          <w:szCs w:val="48"/>
        </w:rPr>
      </w:pPr>
    </w:p>
    <w:p>
      <w:pPr>
        <w:ind w:right="300"/>
        <w:jc w:val="center"/>
        <w:rPr>
          <w:rFonts w:ascii="Times New Roman" w:hAnsi="Times New Roman" w:eastAsia="黑体" w:cs="Times New Roman"/>
          <w:sz w:val="30"/>
          <w:szCs w:val="30"/>
        </w:rPr>
      </w:pPr>
    </w:p>
    <w:p>
      <w:pPr>
        <w:ind w:right="300"/>
        <w:jc w:val="left"/>
        <w:rPr>
          <w:rFonts w:ascii="Times New Roman" w:hAnsi="Times New Roman" w:eastAsia="黑体" w:cs="Times New Roman"/>
          <w:sz w:val="30"/>
          <w:szCs w:val="30"/>
        </w:rPr>
      </w:pPr>
      <w:r>
        <w:rPr>
          <w:rFonts w:hint="eastAsia" w:ascii="Times New Roman" w:hAnsi="Times New Roman" w:eastAsia="黑体" w:cs="Times New Roman"/>
          <w:sz w:val="48"/>
          <w:szCs w:val="48"/>
        </w:rPr>
        <w:t xml:space="preserve">         </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w:t>
      </w:r>
      <w:r>
        <w:rPr>
          <w:rFonts w:hint="eastAsia" w:ascii="Times New Roman" w:hAnsi="Times New Roman" w:eastAsia="黑体" w:cs="Times New Roman"/>
          <w:sz w:val="52"/>
          <w:szCs w:val="52"/>
        </w:rPr>
        <w:t>内保外贷担保履约对外债权登记</w:t>
      </w: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发布机构：</w:t>
      </w:r>
      <w:r>
        <w:rPr>
          <w:rFonts w:hint="eastAsia" w:ascii="Times New Roman" w:hAnsi="Times New Roman" w:eastAsia="仿宋_GB2312" w:cs="Times New Roman"/>
          <w:sz w:val="32"/>
          <w:szCs w:val="32"/>
        </w:rPr>
        <w:t>国家外汇管理局陕西省分局</w:t>
      </w:r>
    </w:p>
    <w:p>
      <w:pPr>
        <w:ind w:right="300"/>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titlePg/>
          <w:docGrid w:type="lines" w:linePitch="312" w:charSpace="0"/>
        </w:sectPr>
      </w:pPr>
    </w:p>
    <w:p>
      <w:pPr>
        <w:adjustRightInd w:val="0"/>
        <w:snapToGrid w:val="0"/>
        <w:spacing w:line="360" w:lineRule="auto"/>
        <w:rPr>
          <w:rFonts w:ascii="Times New Roman" w:hAnsi="Times New Roman" w:eastAsia="黑体" w:cs="Times New Roman"/>
          <w:sz w:val="30"/>
          <w:szCs w:val="30"/>
        </w:rPr>
      </w:pPr>
      <w:r>
        <w:rPr>
          <w:rFonts w:hint="eastAsia" w:ascii="Times New Roman" w:hAnsi="Times New Roman" w:eastAsia="黑体" w:cs="Times New Roman"/>
          <w:sz w:val="30"/>
          <w:szCs w:val="30"/>
          <w:lang w:val="en-US" w:eastAsia="zh-CN"/>
        </w:rPr>
        <w:t xml:space="preserve">    </w:t>
      </w:r>
      <w:r>
        <w:rPr>
          <w:rFonts w:ascii="Times New Roman" w:hAnsi="Times New Roman" w:eastAsia="黑体" w:cs="Times New Roman"/>
          <w:sz w:val="30"/>
          <w:szCs w:val="30"/>
        </w:rPr>
        <w:t>一、项目信息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项目名称：境内机构（不含商业银行）向境外提供商业贷款审批与登记；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项目编号：57007；</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本指南适用于“境内机构（不含商业银行）向境外提供商业贷款审批与登记”的申请和办理。</w:t>
      </w:r>
    </w:p>
    <w:p>
      <w:pPr>
        <w:adjustRightInd w:val="0"/>
        <w:snapToGrid w:val="0"/>
        <w:spacing w:line="360" w:lineRule="auto"/>
        <w:ind w:firstLine="585" w:firstLineChars="19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二十条：“银行业金融机构在经批准的经营范围内可以直接向境外提供商业贷款。其他境内机构向境外提供商业贷款，应当向外汇管理机关提出申请，外汇管理机关根据申请人的资产负债等情况作出批准或者不批准的决定；国家规定其经营范围需经有关主管部门批准的，应当在向外汇管理机关提出申请前办理批准手续。向境外提供商业贷款，应当按照国务院外汇管理部门的规定办理登记”。</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黑体" w:eastAsia="黑体" w:cs="Times New Roman"/>
          <w:sz w:val="30"/>
          <w:szCs w:val="30"/>
        </w:rPr>
        <w:t>四、内保外贷</w:t>
      </w:r>
      <w:r>
        <w:rPr>
          <w:rFonts w:hint="eastAsia" w:ascii="Times New Roman" w:hAnsi="黑体" w:eastAsia="黑体" w:cs="Times New Roman"/>
          <w:sz w:val="30"/>
          <w:szCs w:val="30"/>
          <w:lang w:eastAsia="zh-CN"/>
        </w:rPr>
        <w:t>担保</w:t>
      </w:r>
      <w:r>
        <w:rPr>
          <w:rFonts w:ascii="Times New Roman" w:hAnsi="黑体" w:eastAsia="黑体" w:cs="Times New Roman"/>
          <w:sz w:val="30"/>
          <w:szCs w:val="30"/>
        </w:rPr>
        <w:t>履约对外债权登记</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（一）办理依据</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1.《中华人民共和国外汇管理条例》（国务院令第532号）。</w:t>
      </w:r>
    </w:p>
    <w:p>
      <w:pPr>
        <w:widowControl/>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2.《国家外汇管理局关于发布〈跨境担保外汇管理规定〉的通知》（汇发〔2014〕29号）。</w:t>
      </w:r>
    </w:p>
    <w:p>
      <w:pPr>
        <w:widowControl/>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3.《国家外汇管理局关于进一步推进外汇管理改革完善真实合规性审核的通知》（汇发〔2017〕3号）。</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（二）受理机构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color w:val="auto"/>
          <w:sz w:val="30"/>
          <w:szCs w:val="30"/>
        </w:rPr>
        <w:t>国家外汇管理局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sz w:val="30"/>
          <w:szCs w:val="30"/>
        </w:rPr>
        <w:t>。</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color w:val="auto"/>
          <w:sz w:val="30"/>
          <w:szCs w:val="30"/>
        </w:rPr>
        <w:t>国家外汇管理局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sz w:val="30"/>
          <w:szCs w:val="30"/>
        </w:rPr>
        <w:t>。</w:t>
      </w:r>
    </w:p>
    <w:p>
      <w:pPr>
        <w:adjustRightInd w:val="0"/>
        <w:snapToGrid w:val="0"/>
        <w:spacing w:line="360" w:lineRule="auto"/>
        <w:ind w:firstLine="585"/>
        <w:rPr>
          <w:rFonts w:ascii="Times New Roman" w:hAnsi="Times New Roman" w:eastAsia="黑体" w:cs="Times New Roman"/>
          <w:sz w:val="30"/>
          <w:szCs w:val="30"/>
        </w:rPr>
      </w:pPr>
      <w:r>
        <w:rPr>
          <w:rFonts w:ascii="Times New Roman" w:hAnsi="黑体"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r>
        <w:rPr>
          <w:rFonts w:hint="eastAsia" w:ascii="Times New Roman" w:hAnsi="Times New Roman" w:eastAsia="仿宋_GB2312" w:cs="Times New Roman"/>
          <w:sz w:val="30"/>
          <w:szCs w:val="30"/>
          <w:lang w:eastAsia="zh-CN"/>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黑体" w:eastAsia="黑体" w:cs="Times New Roman"/>
          <w:sz w:val="30"/>
          <w:szCs w:val="30"/>
        </w:rPr>
        <w:t>（五）办事条件</w:t>
      </w:r>
    </w:p>
    <w:p>
      <w:pPr>
        <w:widowControl/>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对于担保人在境内、债务人在境外的其他形式的跨境担保，担保履约后构成对外债权的，应当办理对外债权登记。</w:t>
      </w:r>
    </w:p>
    <w:p>
      <w:pPr>
        <w:widowControl/>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2.债权人为非银行机构的，应在担保履约后15个工作日内到所在地外汇局办理对外债权登记。</w:t>
      </w:r>
    </w:p>
    <w:p>
      <w:pPr>
        <w:widowControl/>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3.禁止性要求：如符合上述条件，不存在不予许可的情况。</w:t>
      </w:r>
    </w:p>
    <w:p>
      <w:pPr>
        <w:widowControl/>
        <w:ind w:firstLine="600"/>
        <w:rPr>
          <w:rFonts w:ascii="Times New Roman" w:hAnsi="Times New Roman" w:eastAsia="仿宋_GB2312" w:cs="Times New Roman"/>
          <w:sz w:val="30"/>
          <w:szCs w:val="30"/>
        </w:rPr>
      </w:pPr>
      <w:r>
        <w:rPr>
          <w:rFonts w:ascii="Times New Roman" w:hAnsi="黑体" w:eastAsia="黑体" w:cs="Times New Roman"/>
          <w:sz w:val="30"/>
          <w:szCs w:val="30"/>
        </w:rPr>
        <w:t>（六）申请材料</w:t>
      </w:r>
    </w:p>
    <w:tbl>
      <w:tblPr>
        <w:tblStyle w:val="17"/>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
        <w:gridCol w:w="3222"/>
        <w:gridCol w:w="1701"/>
        <w:gridCol w:w="425"/>
        <w:gridCol w:w="993"/>
        <w:gridCol w:w="425"/>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0" w:type="dxa"/>
            <w:vAlign w:val="center"/>
          </w:tcPr>
          <w:p>
            <w:pPr>
              <w:ind w:left="-141" w:leftChars="-67" w:right="-108"/>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222" w:type="dxa"/>
            <w:vAlign w:val="center"/>
          </w:tcPr>
          <w:p>
            <w:pPr>
              <w:ind w:left="-84" w:leftChars="-40" w:right="-116"/>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701" w:type="dxa"/>
            <w:vAlign w:val="center"/>
          </w:tcPr>
          <w:p>
            <w:pPr>
              <w:ind w:left="-126" w:leftChars="-60" w:right="-125"/>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ind w:left="-126" w:leftChars="-60" w:right="-125"/>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425" w:type="dxa"/>
            <w:vAlign w:val="center"/>
          </w:tcPr>
          <w:p>
            <w:pPr>
              <w:ind w:left="-90" w:leftChars="-43" w:right="-104"/>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93" w:type="dxa"/>
            <w:vAlign w:val="center"/>
          </w:tcPr>
          <w:p>
            <w:pPr>
              <w:ind w:left="-111" w:leftChars="-53" w:right="-89" w:firstLine="111" w:firstLineChars="46"/>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ind w:left="-111" w:leftChars="-53" w:right="-89" w:firstLine="111" w:firstLineChars="46"/>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425" w:type="dxa"/>
            <w:vAlign w:val="center"/>
          </w:tcPr>
          <w:p>
            <w:pPr>
              <w:ind w:left="-141" w:leftChars="-67" w:right="-121"/>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06" w:type="dxa"/>
            <w:vAlign w:val="center"/>
          </w:tcPr>
          <w:p>
            <w:pPr>
              <w:ind w:left="-94" w:leftChars="-45" w:right="-73" w:firstLine="94" w:firstLineChars="39"/>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0" w:type="dxa"/>
            <w:vAlign w:val="center"/>
          </w:tcPr>
          <w:p>
            <w:pPr>
              <w:ind w:left="-141" w:leftChars="-67" w:right="-107" w:rightChars="-51"/>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222" w:type="dxa"/>
            <w:vAlign w:val="center"/>
          </w:tcPr>
          <w:p>
            <w:pPr>
              <w:ind w:left="-2" w:right="33"/>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包括内保外贷签约登记办理情况、担保履约的原因、履约资金来源、境外债务人还款计划及未来还款资金来源等</w:t>
            </w:r>
            <w:r>
              <w:rPr>
                <w:rFonts w:hint="eastAsia" w:ascii="Times New Roman" w:hAnsi="Times New Roman" w:eastAsia="仿宋_GB2312" w:cs="Times New Roman"/>
                <w:sz w:val="24"/>
                <w:szCs w:val="24"/>
              </w:rPr>
              <w:t>）</w:t>
            </w:r>
          </w:p>
        </w:tc>
        <w:tc>
          <w:tcPr>
            <w:tcW w:w="1701" w:type="dxa"/>
            <w:vAlign w:val="center"/>
          </w:tcPr>
          <w:p>
            <w:pPr>
              <w:ind w:right="-125"/>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425" w:type="dxa"/>
            <w:vAlign w:val="center"/>
          </w:tcPr>
          <w:p>
            <w:pPr>
              <w:ind w:left="-90" w:leftChars="-43" w:right="-104"/>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3" w:type="dxa"/>
            <w:vAlign w:val="center"/>
          </w:tcPr>
          <w:p>
            <w:pPr>
              <w:ind w:left="-111" w:leftChars="-53" w:right="-89" w:firstLine="110" w:firstLineChars="46"/>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25" w:type="dxa"/>
            <w:vAlign w:val="center"/>
          </w:tcPr>
          <w:p>
            <w:pPr>
              <w:ind w:right="300"/>
              <w:jc w:val="left"/>
              <w:rPr>
                <w:rFonts w:ascii="Times New Roman" w:hAnsi="Times New Roman" w:eastAsia="仿宋_GB2312" w:cs="Times New Roman"/>
                <w:sz w:val="24"/>
                <w:szCs w:val="24"/>
              </w:rPr>
            </w:pPr>
          </w:p>
        </w:tc>
        <w:tc>
          <w:tcPr>
            <w:tcW w:w="1206" w:type="dxa"/>
            <w:vAlign w:val="center"/>
          </w:tcPr>
          <w:p>
            <w:pPr>
              <w:ind w:right="-73"/>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1" w:hRule="atLeast"/>
        </w:trPr>
        <w:tc>
          <w:tcPr>
            <w:tcW w:w="430" w:type="dxa"/>
            <w:vAlign w:val="center"/>
          </w:tcPr>
          <w:p>
            <w:pPr>
              <w:ind w:left="-141" w:leftChars="-67" w:right="-10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222" w:type="dxa"/>
            <w:vAlign w:val="center"/>
          </w:tcPr>
          <w:p>
            <w:pPr>
              <w:ind w:left="-2" w:right="33"/>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担保履约证明材料</w:t>
            </w:r>
          </w:p>
        </w:tc>
        <w:tc>
          <w:tcPr>
            <w:tcW w:w="1701" w:type="dxa"/>
            <w:vAlign w:val="center"/>
          </w:tcPr>
          <w:p>
            <w:pPr>
              <w:ind w:right="-125"/>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25" w:type="dxa"/>
            <w:vAlign w:val="center"/>
          </w:tcPr>
          <w:p>
            <w:pPr>
              <w:ind w:left="-90" w:leftChars="-43" w:right="-104"/>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3" w:type="dxa"/>
            <w:vAlign w:val="center"/>
          </w:tcPr>
          <w:p>
            <w:pPr>
              <w:ind w:left="-111" w:leftChars="-53" w:right="-89" w:firstLine="110" w:firstLineChars="46"/>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25" w:type="dxa"/>
            <w:vAlign w:val="center"/>
          </w:tcPr>
          <w:p>
            <w:pPr>
              <w:ind w:right="300"/>
              <w:jc w:val="left"/>
              <w:rPr>
                <w:rFonts w:ascii="Times New Roman" w:hAnsi="Times New Roman" w:eastAsia="仿宋_GB2312" w:cs="Times New Roman"/>
                <w:sz w:val="24"/>
                <w:szCs w:val="24"/>
              </w:rPr>
            </w:pPr>
          </w:p>
        </w:tc>
        <w:tc>
          <w:tcPr>
            <w:tcW w:w="1206" w:type="dxa"/>
            <w:vAlign w:val="center"/>
          </w:tcPr>
          <w:p>
            <w:pPr>
              <w:ind w:right="-73"/>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adjustRightIn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（七）申请接受</w:t>
      </w:r>
    </w:p>
    <w:p>
      <w:pPr>
        <w:adjustRightIn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w:t>
      </w:r>
      <w:r>
        <w:rPr>
          <w:rFonts w:ascii="Times New Roman" w:hAnsi="Times New Roman" w:eastAsia="仿宋_GB2312" w:cs="Times New Roman"/>
          <w:color w:val="auto"/>
          <w:sz w:val="30"/>
          <w:szCs w:val="30"/>
        </w:rPr>
        <w:t>国家外汇管理局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sz w:val="30"/>
          <w:szCs w:val="30"/>
        </w:rPr>
        <w:t>业务窗口提交材料</w:t>
      </w:r>
      <w:r>
        <w:rPr>
          <w:rFonts w:hint="eastAsia" w:ascii="Times New Roman" w:hAnsi="Times New Roman" w:eastAsia="仿宋_GB2312" w:cs="Times New Roman"/>
          <w:sz w:val="30"/>
          <w:szCs w:val="30"/>
          <w:lang w:eastAsia="zh-CN"/>
        </w:rPr>
        <w:t>。</w:t>
      </w:r>
    </w:p>
    <w:p>
      <w:pPr>
        <w:adjustRightIn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（八）基本办理流程</w:t>
      </w:r>
    </w:p>
    <w:p>
      <w:pPr>
        <w:tabs>
          <w:tab w:val="left" w:pos="615"/>
        </w:tabs>
        <w:adjustRightIn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（十一）审批收费依据及标准</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不收费。</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黑体" w:cs="Times New Roman"/>
          <w:sz w:val="30"/>
          <w:szCs w:val="30"/>
        </w:rPr>
        <w:t>（十五）咨询途径、监督和投诉、公开查询等由所在地分局办理</w:t>
      </w:r>
    </w:p>
    <w:p>
      <w:pPr>
        <w:adjustRightInd w:val="0"/>
        <w:snapToGrid w:val="0"/>
        <w:spacing w:line="360" w:lineRule="auto"/>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向国家外汇管理局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color w:val="auto"/>
          <w:sz w:val="30"/>
          <w:szCs w:val="30"/>
        </w:rPr>
        <w:t>咨询、</w:t>
      </w:r>
      <w:r>
        <w:rPr>
          <w:rFonts w:hint="eastAsia" w:ascii="Times New Roman" w:hAnsi="Times New Roman" w:eastAsia="仿宋_GB2312" w:cs="Times New Roman"/>
          <w:color w:val="auto"/>
          <w:sz w:val="30"/>
          <w:szCs w:val="30"/>
        </w:rPr>
        <w:t>进度查询、</w:t>
      </w:r>
      <w:r>
        <w:rPr>
          <w:rFonts w:ascii="Times New Roman" w:hAnsi="Times New Roman" w:eastAsia="仿宋_GB2312" w:cs="Times New Roman"/>
          <w:color w:val="auto"/>
          <w:sz w:val="30"/>
          <w:szCs w:val="30"/>
        </w:rPr>
        <w:t>监督</w:t>
      </w:r>
      <w:r>
        <w:rPr>
          <w:rFonts w:hint="eastAsia" w:ascii="Times New Roman" w:hAnsi="Times New Roman" w:eastAsia="仿宋_GB2312" w:cs="Times New Roman"/>
          <w:color w:val="auto"/>
          <w:sz w:val="30"/>
          <w:szCs w:val="30"/>
        </w:rPr>
        <w:t>和</w:t>
      </w:r>
      <w:r>
        <w:rPr>
          <w:rFonts w:ascii="Times New Roman" w:hAnsi="Times New Roman" w:eastAsia="仿宋_GB2312" w:cs="Times New Roman"/>
          <w:color w:val="auto"/>
          <w:sz w:val="30"/>
          <w:szCs w:val="30"/>
        </w:rPr>
        <w:t>投诉等可通过</w:t>
      </w:r>
      <w:r>
        <w:rPr>
          <w:rFonts w:hint="eastAsia" w:ascii="Times New Roman" w:hAnsi="Times New Roman" w:eastAsia="仿宋_GB2312" w:cs="Times New Roman"/>
          <w:color w:val="auto"/>
          <w:sz w:val="30"/>
          <w:szCs w:val="30"/>
        </w:rPr>
        <w:t>电话、</w:t>
      </w:r>
      <w:r>
        <w:rPr>
          <w:rFonts w:ascii="Times New Roman" w:hAnsi="Times New Roman" w:eastAsia="仿宋_GB2312" w:cs="Times New Roman"/>
          <w:color w:val="auto"/>
          <w:sz w:val="30"/>
          <w:szCs w:val="30"/>
        </w:rPr>
        <w:t>国家外汇管理局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color w:val="auto"/>
          <w:sz w:val="30"/>
          <w:szCs w:val="30"/>
        </w:rPr>
        <w:t>官方互联网站</w:t>
      </w:r>
      <w:r>
        <w:rPr>
          <w:rFonts w:hint="eastAsia" w:ascii="Times New Roman" w:hAnsi="Times New Roman" w:eastAsia="仿宋_GB2312" w:cs="Times New Roman"/>
          <w:color w:val="auto"/>
          <w:sz w:val="30"/>
          <w:szCs w:val="30"/>
        </w:rPr>
        <w:t>咨询反馈</w:t>
      </w:r>
      <w:r>
        <w:rPr>
          <w:rFonts w:ascii="Times New Roman" w:hAnsi="Times New Roman" w:eastAsia="仿宋_GB2312" w:cs="Times New Roman"/>
          <w:color w:val="auto"/>
          <w:sz w:val="30"/>
          <w:szCs w:val="30"/>
        </w:rPr>
        <w:t>栏目进行。</w:t>
      </w:r>
    </w:p>
    <w:p>
      <w:pPr>
        <w:adjustRightInd w:val="0"/>
        <w:snapToGrid w:val="0"/>
        <w:spacing w:line="360" w:lineRule="auto"/>
        <w:ind w:firstLine="600"/>
        <w:rPr>
          <w:rFonts w:hint="default"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rPr>
        <w:t>电话：029-88</w:t>
      </w:r>
      <w:r>
        <w:rPr>
          <w:rFonts w:hint="eastAsia" w:ascii="Times New Roman" w:hAnsi="Times New Roman" w:eastAsia="仿宋_GB2312" w:cs="Times New Roman"/>
          <w:color w:val="auto"/>
          <w:sz w:val="30"/>
          <w:szCs w:val="30"/>
          <w:lang w:val="en-US" w:eastAsia="zh-CN"/>
        </w:rPr>
        <w:t>150978；029-88150690</w:t>
      </w:r>
    </w:p>
    <w:p>
      <w:pPr>
        <w:adjustRightInd w:val="0"/>
        <w:snapToGrid w:val="0"/>
        <w:spacing w:line="360" w:lineRule="auto"/>
        <w:ind w:firstLine="600"/>
        <w:rPr>
          <w:rFonts w:ascii="Times New Roman" w:hAnsi="Times New Roman" w:eastAsia="仿宋_GB2312" w:cs="Times New Roman"/>
          <w:color w:val="auto"/>
          <w:sz w:val="30"/>
        </w:rPr>
      </w:pPr>
      <w:r>
        <w:rPr>
          <w:rFonts w:hint="eastAsia" w:ascii="Times New Roman" w:hAnsi="Times New Roman" w:eastAsia="仿宋_GB2312" w:cs="Times New Roman"/>
          <w:color w:val="auto"/>
          <w:sz w:val="30"/>
          <w:szCs w:val="30"/>
        </w:rPr>
        <w:t>网址：</w:t>
      </w:r>
      <w:r>
        <w:rPr>
          <w:rFonts w:ascii="Calibri" w:hAnsi="Calibri" w:eastAsia="宋体" w:cs="黑体"/>
          <w:color w:val="auto"/>
        </w:rPr>
        <w:fldChar w:fldCharType="begin"/>
      </w:r>
      <w:r>
        <w:rPr>
          <w:rFonts w:ascii="Calibri" w:hAnsi="Calibri" w:eastAsia="宋体" w:cs="黑体"/>
          <w:color w:val="auto"/>
        </w:rPr>
        <w:instrText xml:space="preserve"> HYPERLINK "http://www.safe.gov.cn" </w:instrText>
      </w:r>
      <w:r>
        <w:rPr>
          <w:rFonts w:ascii="Calibri" w:hAnsi="Calibri" w:eastAsia="宋体" w:cs="黑体"/>
          <w:color w:val="auto"/>
        </w:rPr>
        <w:fldChar w:fldCharType="separate"/>
      </w:r>
      <w:r>
        <w:rPr>
          <w:rFonts w:ascii="Times New Roman" w:hAnsi="Times New Roman" w:eastAsia="仿宋_GB2312" w:cs="Times New Roman"/>
          <w:color w:val="auto"/>
          <w:sz w:val="30"/>
        </w:rPr>
        <w:t>www.safe.gov.cn</w:t>
      </w:r>
      <w:r>
        <w:rPr>
          <w:rFonts w:ascii="Times New Roman" w:hAnsi="Times New Roman" w:eastAsia="仿宋_GB2312" w:cs="Times New Roman"/>
          <w:color w:val="auto"/>
          <w:sz w:val="30"/>
        </w:rPr>
        <w:fldChar w:fldCharType="end"/>
      </w:r>
      <w:r>
        <w:rPr>
          <w:rFonts w:hint="eastAsia" w:ascii="Times New Roman" w:hAnsi="Times New Roman" w:eastAsia="仿宋_GB2312" w:cs="Times New Roman"/>
          <w:color w:val="auto"/>
          <w:sz w:val="30"/>
        </w:rPr>
        <w:t>/shaanxi</w:t>
      </w:r>
    </w:p>
    <w:p>
      <w:pPr>
        <w:adjustRightInd w:val="0"/>
        <w:snapToGrid w:val="0"/>
        <w:spacing w:line="360" w:lineRule="auto"/>
        <w:ind w:firstLine="600"/>
        <w:rPr>
          <w:rFonts w:hint="eastAsia" w:ascii="黑体" w:hAnsi="黑体" w:eastAsia="黑体" w:cs="黑体"/>
          <w:color w:val="auto"/>
          <w:sz w:val="30"/>
          <w:szCs w:val="30"/>
        </w:rPr>
      </w:pPr>
      <w:r>
        <w:rPr>
          <w:rFonts w:hint="eastAsia" w:ascii="黑体" w:hAnsi="黑体" w:eastAsia="黑体" w:cs="黑体"/>
          <w:color w:val="auto"/>
          <w:sz w:val="30"/>
          <w:szCs w:val="30"/>
        </w:rPr>
        <w:t>（十</w:t>
      </w:r>
      <w:r>
        <w:rPr>
          <w:rFonts w:hint="eastAsia" w:ascii="黑体" w:hAnsi="黑体" w:eastAsia="黑体" w:cs="黑体"/>
          <w:color w:val="auto"/>
          <w:sz w:val="30"/>
          <w:szCs w:val="30"/>
          <w:lang w:eastAsia="zh-CN"/>
        </w:rPr>
        <w:t>六</w:t>
      </w:r>
      <w:r>
        <w:rPr>
          <w:rFonts w:hint="eastAsia" w:ascii="黑体" w:hAnsi="黑体" w:eastAsia="黑体" w:cs="黑体"/>
          <w:color w:val="auto"/>
          <w:sz w:val="30"/>
          <w:szCs w:val="30"/>
        </w:rPr>
        <w:t>）办公地址和时间</w:t>
      </w:r>
    </w:p>
    <w:p>
      <w:pPr>
        <w:adjustRightInd w:val="0"/>
        <w:snapToGrid w:val="0"/>
        <w:spacing w:line="360" w:lineRule="auto"/>
        <w:ind w:firstLine="600"/>
        <w:rPr>
          <w:rFonts w:hint="eastAsia"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办公地址：西安市高新路49号，中国人民银行</w:t>
      </w:r>
      <w:r>
        <w:rPr>
          <w:rFonts w:hint="eastAsia" w:ascii="Times New Roman" w:hAnsi="Times New Roman" w:eastAsia="仿宋_GB2312" w:cs="Times New Roman"/>
          <w:color w:val="auto"/>
          <w:sz w:val="30"/>
          <w:szCs w:val="30"/>
          <w:lang w:eastAsia="zh-CN"/>
        </w:rPr>
        <w:t>陕西省</w:t>
      </w:r>
      <w:bookmarkStart w:id="0" w:name="_GoBack"/>
      <w:bookmarkEnd w:id="0"/>
      <w:r>
        <w:rPr>
          <w:rFonts w:hint="eastAsia" w:ascii="Times New Roman" w:hAnsi="Times New Roman" w:eastAsia="仿宋_GB2312" w:cs="Times New Roman"/>
          <w:color w:val="auto"/>
          <w:sz w:val="30"/>
          <w:szCs w:val="30"/>
        </w:rPr>
        <w:t>分行</w:t>
      </w:r>
      <w:r>
        <w:rPr>
          <w:rFonts w:hint="eastAsia" w:ascii="Times New Roman" w:hAnsi="Times New Roman" w:eastAsia="仿宋_GB2312" w:cs="Times New Roman"/>
          <w:color w:val="auto"/>
          <w:sz w:val="30"/>
          <w:szCs w:val="30"/>
          <w:lang w:eastAsia="zh-CN"/>
        </w:rPr>
        <w:t>机关大楼</w:t>
      </w:r>
      <w:r>
        <w:rPr>
          <w:rFonts w:hint="eastAsia" w:ascii="Times New Roman" w:hAnsi="Times New Roman" w:eastAsia="仿宋_GB2312" w:cs="Times New Roman"/>
          <w:color w:val="auto"/>
          <w:sz w:val="30"/>
          <w:szCs w:val="30"/>
          <w:lang w:val="en-US" w:eastAsia="zh-CN"/>
        </w:rPr>
        <w:t>908</w:t>
      </w:r>
      <w:r>
        <w:rPr>
          <w:rFonts w:hint="eastAsia" w:ascii="Times New Roman" w:hAnsi="Times New Roman" w:eastAsia="仿宋_GB2312" w:cs="Times New Roman"/>
          <w:color w:val="auto"/>
          <w:sz w:val="30"/>
          <w:szCs w:val="30"/>
        </w:rPr>
        <w:t>房间。</w:t>
      </w:r>
    </w:p>
    <w:p>
      <w:pPr>
        <w:adjustRightInd w:val="0"/>
        <w:snapToGrid w:val="0"/>
        <w:spacing w:line="360" w:lineRule="auto"/>
        <w:ind w:firstLine="600"/>
        <w:rPr>
          <w:rFonts w:hint="eastAsia"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办公时间：工作日8:30-11:30,13:30-17:00。</w:t>
      </w:r>
    </w:p>
    <w:p>
      <w:pPr>
        <w:adjustRightInd w:val="0"/>
        <w:snapToGrid w:val="0"/>
        <w:spacing w:line="360" w:lineRule="auto"/>
        <w:ind w:firstLine="600"/>
        <w:rPr>
          <w:rFonts w:hint="eastAsia" w:ascii="Times New Roman" w:hAnsi="Times New Roman" w:eastAsia="仿宋_GB2312" w:cs="Times New Roman"/>
          <w:color w:val="auto"/>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group id="Group 1149" o:spid="_x0000_s1026" style="position:absolute;left:0;margin-left:-13.25pt;margin-top:14.1pt;height:586.05pt;width:446.05pt;rotation:0f;z-index:251658240;" coordorigin="0,0" coordsize="8921,11721">
            <o:lock v:ext="edit" position="f" selection="f" grouping="f" rotation="f" cropping="f" text="f" aspectratio="f"/>
            <v:rect id="Rectangle 1150" o:spid="_x0000_s1027"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1151" o:spid="_x0000_s1028"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1152" o:spid="_x0000_s1029"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1153" o:spid="_x0000_s1030" type="#_x0000_t32" style="position:absolute;left:4382;top:7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54" o:spid="_x0000_s1031" type="#_x0000_t32" style="position:absolute;left:6331;top:9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55" o:spid="_x0000_s1032" type="#_x0000_t32" style="position:absolute;left:2358;top:9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56" o:spid="_x0000_s1033" type="#_x0000_t32" style="position:absolute;left:4383;top:8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157" o:spid="_x0000_s1034" type="#_x0000_t32" style="position:absolute;left:2359;top:9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158" o:spid="_x0000_s1035" style="position:absolute;left:0;top:0;height:7693;width:8921;rotation:0f;" coordorigin="0,0" coordsize="8921,7693">
              <o:lock v:ext="edit" position="f" selection="f" grouping="f" rotation="f" cropping="f" text="f" aspectratio="f"/>
              <v:shape id="AutoShape 1159" o:spid="_x0000_s1036" type="#_x0000_t32" style="position:absolute;left:5893;top:6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160" o:spid="_x0000_s1037" style="position:absolute;left:0;top:0;height:7693;width:8921;rotation:0f;" coordorigin="0,0" coordsize="8921,7693">
                <o:lock v:ext="edit" position="f" selection="f" grouping="f" rotation="f" cropping="f" text="f" aspectratio="f"/>
                <v:shape id="AutoShape 1161" o:spid="_x0000_s1038" type="#_x0000_t34" style="position:absolute;left:6366;top:3154;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162" o:spid="_x0000_s1039"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1163" o:spid="_x0000_s1040" type="#_x0000_t32" style="position:absolute;left:5893;top:4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164" o:spid="_x0000_s1041"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165" o:spid="_x0000_s1042"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申请人补充材料</w:t>
                        </w:r>
                      </w:p>
                    </w:txbxContent>
                  </v:textbox>
                </v:shape>
                <v:rect id="Rectangle 1166" o:spid="_x0000_s1043"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1167" o:spid="_x0000_s1044"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1168" o:spid="_x0000_s1045"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1169" o:spid="_x0000_s1046" style="position:absolute;left:0;top:0;height:7424;width:4594;rotation:0f;" coordorigin="0,0" coordsize="4594,7424">
                  <o:lock v:ext="edit" position="f" selection="f" grouping="f" rotation="f" cropping="f" text="f" aspectratio="f"/>
                  <v:shape id="AutoShape 1170" o:spid="_x0000_s1047" type="#_x0000_t32" style="position:absolute;left:3663;top:3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71" o:spid="_x0000_s1048" type="#_x0000_t32" style="position:absolute;left:1355;top:3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172" o:spid="_x0000_s1049" style="position:absolute;left:0;top:0;height:3986;width:3629;rotation:0f;" coordorigin="0,0" coordsize="3629,3986">
                    <o:lock v:ext="edit" position="f" selection="f" grouping="f" rotation="f" cropping="f" text="f" aspectratio="f"/>
                    <v:shape id="AutoShape 1173" o:spid="_x0000_s1050" type="#_x0000_t32" style="position:absolute;left:1396;top:1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74" o:spid="_x0000_s1051" type="#_x0000_t32" style="position:absolute;left:2400;top:2967;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175" o:spid="_x0000_s1052" type="#_x0000_t4" style="position:absolute;left:0;top:1936;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1176" o:spid="_x0000_s1053"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1177" o:spid="_x0000_s1054" type="#_x0000_t32" style="position:absolute;left:1355;top:7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78" o:spid="_x0000_s1055" type="#_x0000_t32" style="position:absolute;left:3663;top:1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179" o:spid="_x0000_s1056" type="#_x0000_t32" style="position:absolute;left:3663;top:1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180" o:spid="_x0000_s1057"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1181" o:spid="_x0000_s1058"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1182" o:spid="_x0000_s1059" type="#_x0000_t32" style="position:absolute;left:7384;top:1886;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附录二</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1．问：对于担保人在境内、债务人在境外的其他形式的跨境担保，担保履约后构成对外债权的，是否应当办理对外债权登记。</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答：应当办理。</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2．问：境内银行发生内保外贷履约，如有反担保人，是否应当办理对外债权登记，由谁来申请？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答：境内银行发生内保外贷履约，如有反担保人，应由反担保人申请办理对外债权登记。</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3．问：银行</w:t>
      </w:r>
      <w:r>
        <w:rPr>
          <w:rFonts w:ascii="Times New Roman" w:hAnsi="Times New Roman" w:eastAsia="仿宋_GB2312" w:cs="Times New Roman"/>
          <w:kern w:val="0"/>
          <w:sz w:val="30"/>
          <w:szCs w:val="30"/>
        </w:rPr>
        <w:t>银行发生内保外贷担保履约的</w:t>
      </w:r>
      <w:r>
        <w:rPr>
          <w:rFonts w:ascii="Times New Roman" w:hAnsi="Times New Roman" w:eastAsia="仿宋_GB2312" w:cs="Times New Roman"/>
          <w:sz w:val="30"/>
          <w:szCs w:val="30"/>
        </w:rPr>
        <w:t>，应注意什么问题？</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答：银行发生内保外贷担保履约的，相关结售汇纳入银行自身结售汇管理。《国家外汇管理局关于进一步推进外汇管理改革完善真实合规性审核的通知》（汇发〔2017〕3号）实施后银行新提供的内保外贷，如果发生担保项下主债务违约，银行应先使用自有资金履约，不得以反担保资金直接购汇履约；银行履约后造成本外币资金不匹配的，需经所在地外汇分局资本项目管理部门备案后办理结售汇相关手续。</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4．问：境内企业发生内保外贷履约形成对外债权的，其对外债权余额是否应纳入该企业境外放款额度管理？</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答：境内企业发生内保外贷履约形成对外债权的，其对外债权余额应纳入该企业境外放款额度管理。境内企业内保外贷履约对外债权余额与该企业境外放款余额之和不得超过该企业所有者权益的30%；如果超过30%，可以先为该企业办理对外债权登记，但在对外债权余额与境外放款余额之和恢复到该企业所有者权益的30%以内之前，未经外汇局批准，该企业不得办理新的境外放款业务。</w:t>
      </w: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_GBK">
    <w:panose1 w:val="02000000000000000000"/>
    <w:charset w:val="86"/>
    <w:family w:val="auto"/>
    <w:pitch w:val="default"/>
    <w:sig w:usb0="A00002BF" w:usb1="38CF7CFA" w:usb2="00082016" w:usb3="00000000" w:csb0="00040001"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2</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3</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22191"/>
    <w:rsid w:val="00023783"/>
    <w:rsid w:val="0002563F"/>
    <w:rsid w:val="00041960"/>
    <w:rsid w:val="00042B58"/>
    <w:rsid w:val="00054B00"/>
    <w:rsid w:val="00055270"/>
    <w:rsid w:val="0006560A"/>
    <w:rsid w:val="00072F8A"/>
    <w:rsid w:val="000750C8"/>
    <w:rsid w:val="0007570E"/>
    <w:rsid w:val="00080630"/>
    <w:rsid w:val="00091661"/>
    <w:rsid w:val="00092D53"/>
    <w:rsid w:val="00092E02"/>
    <w:rsid w:val="00096CBB"/>
    <w:rsid w:val="00097F7B"/>
    <w:rsid w:val="000A4B83"/>
    <w:rsid w:val="000B6901"/>
    <w:rsid w:val="000B728B"/>
    <w:rsid w:val="000C15B3"/>
    <w:rsid w:val="000C2B33"/>
    <w:rsid w:val="000D1995"/>
    <w:rsid w:val="000D7478"/>
    <w:rsid w:val="0012271F"/>
    <w:rsid w:val="00130519"/>
    <w:rsid w:val="00135BEE"/>
    <w:rsid w:val="0014667A"/>
    <w:rsid w:val="00154B58"/>
    <w:rsid w:val="00157C64"/>
    <w:rsid w:val="00157E81"/>
    <w:rsid w:val="00170126"/>
    <w:rsid w:val="00177059"/>
    <w:rsid w:val="00180135"/>
    <w:rsid w:val="00181D3E"/>
    <w:rsid w:val="0018645B"/>
    <w:rsid w:val="00192486"/>
    <w:rsid w:val="00196FAE"/>
    <w:rsid w:val="001A3E49"/>
    <w:rsid w:val="001A72AA"/>
    <w:rsid w:val="001B1E2C"/>
    <w:rsid w:val="001C44C7"/>
    <w:rsid w:val="001D65A2"/>
    <w:rsid w:val="001E1407"/>
    <w:rsid w:val="001E3099"/>
    <w:rsid w:val="001F4BD4"/>
    <w:rsid w:val="001F7297"/>
    <w:rsid w:val="00205D07"/>
    <w:rsid w:val="00212F39"/>
    <w:rsid w:val="00217116"/>
    <w:rsid w:val="00231EED"/>
    <w:rsid w:val="0023368C"/>
    <w:rsid w:val="00233841"/>
    <w:rsid w:val="00235F24"/>
    <w:rsid w:val="002417D2"/>
    <w:rsid w:val="00241FE8"/>
    <w:rsid w:val="0024527E"/>
    <w:rsid w:val="00253F7B"/>
    <w:rsid w:val="00263B1F"/>
    <w:rsid w:val="002915D6"/>
    <w:rsid w:val="00291C17"/>
    <w:rsid w:val="0029313A"/>
    <w:rsid w:val="002B0B1C"/>
    <w:rsid w:val="002B598D"/>
    <w:rsid w:val="002B61C1"/>
    <w:rsid w:val="002C0B13"/>
    <w:rsid w:val="002C0FF3"/>
    <w:rsid w:val="002E1323"/>
    <w:rsid w:val="002F1C6E"/>
    <w:rsid w:val="002F3868"/>
    <w:rsid w:val="00302119"/>
    <w:rsid w:val="00302E87"/>
    <w:rsid w:val="00310261"/>
    <w:rsid w:val="00312CA6"/>
    <w:rsid w:val="00343044"/>
    <w:rsid w:val="00344B01"/>
    <w:rsid w:val="00353AC4"/>
    <w:rsid w:val="003570D7"/>
    <w:rsid w:val="003616B4"/>
    <w:rsid w:val="00383001"/>
    <w:rsid w:val="00387F6E"/>
    <w:rsid w:val="00395E56"/>
    <w:rsid w:val="003A57B2"/>
    <w:rsid w:val="003B05BF"/>
    <w:rsid w:val="003C7132"/>
    <w:rsid w:val="003D77A5"/>
    <w:rsid w:val="003E6BF6"/>
    <w:rsid w:val="003F221D"/>
    <w:rsid w:val="003F3097"/>
    <w:rsid w:val="003F6213"/>
    <w:rsid w:val="00402AE8"/>
    <w:rsid w:val="00405FE6"/>
    <w:rsid w:val="004105BC"/>
    <w:rsid w:val="00421C27"/>
    <w:rsid w:val="00440A1F"/>
    <w:rsid w:val="00443603"/>
    <w:rsid w:val="00443604"/>
    <w:rsid w:val="004472DB"/>
    <w:rsid w:val="004501EA"/>
    <w:rsid w:val="004504C7"/>
    <w:rsid w:val="00460458"/>
    <w:rsid w:val="0046792D"/>
    <w:rsid w:val="004767DF"/>
    <w:rsid w:val="00487F57"/>
    <w:rsid w:val="0049008B"/>
    <w:rsid w:val="00493CCC"/>
    <w:rsid w:val="004A01C7"/>
    <w:rsid w:val="004A0218"/>
    <w:rsid w:val="004A7840"/>
    <w:rsid w:val="004B545A"/>
    <w:rsid w:val="004B7E80"/>
    <w:rsid w:val="004C457E"/>
    <w:rsid w:val="004C48D5"/>
    <w:rsid w:val="004D03B7"/>
    <w:rsid w:val="004D1436"/>
    <w:rsid w:val="004D1CAF"/>
    <w:rsid w:val="004D57AE"/>
    <w:rsid w:val="005056D4"/>
    <w:rsid w:val="00507B04"/>
    <w:rsid w:val="00526B2B"/>
    <w:rsid w:val="00526BF1"/>
    <w:rsid w:val="005362B0"/>
    <w:rsid w:val="00542447"/>
    <w:rsid w:val="00564312"/>
    <w:rsid w:val="005A2981"/>
    <w:rsid w:val="005C6937"/>
    <w:rsid w:val="005C7F02"/>
    <w:rsid w:val="005E0D46"/>
    <w:rsid w:val="005F0A86"/>
    <w:rsid w:val="005F144A"/>
    <w:rsid w:val="005F1C00"/>
    <w:rsid w:val="00605BF9"/>
    <w:rsid w:val="00607F26"/>
    <w:rsid w:val="0061621E"/>
    <w:rsid w:val="00630AA8"/>
    <w:rsid w:val="00630B2E"/>
    <w:rsid w:val="00640F76"/>
    <w:rsid w:val="00643D2A"/>
    <w:rsid w:val="00651530"/>
    <w:rsid w:val="00664E11"/>
    <w:rsid w:val="00673B30"/>
    <w:rsid w:val="00674A78"/>
    <w:rsid w:val="00693524"/>
    <w:rsid w:val="00696E5D"/>
    <w:rsid w:val="00697F1B"/>
    <w:rsid w:val="006A252F"/>
    <w:rsid w:val="006B5B86"/>
    <w:rsid w:val="006C5908"/>
    <w:rsid w:val="006C633E"/>
    <w:rsid w:val="006D734F"/>
    <w:rsid w:val="006E043F"/>
    <w:rsid w:val="006E4695"/>
    <w:rsid w:val="006E4B8B"/>
    <w:rsid w:val="006E5901"/>
    <w:rsid w:val="0071091C"/>
    <w:rsid w:val="00714961"/>
    <w:rsid w:val="00743987"/>
    <w:rsid w:val="00744BD5"/>
    <w:rsid w:val="00745748"/>
    <w:rsid w:val="00750369"/>
    <w:rsid w:val="00750E36"/>
    <w:rsid w:val="00753CB0"/>
    <w:rsid w:val="00755460"/>
    <w:rsid w:val="007612D9"/>
    <w:rsid w:val="00761FB7"/>
    <w:rsid w:val="00762107"/>
    <w:rsid w:val="00764CB9"/>
    <w:rsid w:val="00765B05"/>
    <w:rsid w:val="0078225F"/>
    <w:rsid w:val="00785F45"/>
    <w:rsid w:val="00793EE7"/>
    <w:rsid w:val="007A2780"/>
    <w:rsid w:val="007A68EA"/>
    <w:rsid w:val="007B06FC"/>
    <w:rsid w:val="007B0FEF"/>
    <w:rsid w:val="007B2DB5"/>
    <w:rsid w:val="007C4AD9"/>
    <w:rsid w:val="007D2C11"/>
    <w:rsid w:val="007D6171"/>
    <w:rsid w:val="007D69EA"/>
    <w:rsid w:val="007E2C7B"/>
    <w:rsid w:val="007E411B"/>
    <w:rsid w:val="007F0863"/>
    <w:rsid w:val="007F2F3B"/>
    <w:rsid w:val="007F354C"/>
    <w:rsid w:val="00802307"/>
    <w:rsid w:val="0082168E"/>
    <w:rsid w:val="00821968"/>
    <w:rsid w:val="008471B6"/>
    <w:rsid w:val="00851521"/>
    <w:rsid w:val="0085686A"/>
    <w:rsid w:val="0086077B"/>
    <w:rsid w:val="0086084D"/>
    <w:rsid w:val="00860878"/>
    <w:rsid w:val="008731FF"/>
    <w:rsid w:val="0088294A"/>
    <w:rsid w:val="0089282A"/>
    <w:rsid w:val="008A4538"/>
    <w:rsid w:val="008A704B"/>
    <w:rsid w:val="008B08D2"/>
    <w:rsid w:val="008B4EE5"/>
    <w:rsid w:val="008B5807"/>
    <w:rsid w:val="008D5FA0"/>
    <w:rsid w:val="008E2D38"/>
    <w:rsid w:val="008F5724"/>
    <w:rsid w:val="008F7910"/>
    <w:rsid w:val="00902633"/>
    <w:rsid w:val="009027D8"/>
    <w:rsid w:val="0090372F"/>
    <w:rsid w:val="009110E8"/>
    <w:rsid w:val="00911E27"/>
    <w:rsid w:val="0092129A"/>
    <w:rsid w:val="00925BB2"/>
    <w:rsid w:val="00930C8C"/>
    <w:rsid w:val="009360EA"/>
    <w:rsid w:val="00947C57"/>
    <w:rsid w:val="00951149"/>
    <w:rsid w:val="00960EDB"/>
    <w:rsid w:val="009622DB"/>
    <w:rsid w:val="009664BC"/>
    <w:rsid w:val="00967291"/>
    <w:rsid w:val="00980F02"/>
    <w:rsid w:val="00991B77"/>
    <w:rsid w:val="00997523"/>
    <w:rsid w:val="009A0C5D"/>
    <w:rsid w:val="009C4672"/>
    <w:rsid w:val="009C491B"/>
    <w:rsid w:val="009D0911"/>
    <w:rsid w:val="009D24F8"/>
    <w:rsid w:val="009D688C"/>
    <w:rsid w:val="009F7A36"/>
    <w:rsid w:val="00A249C2"/>
    <w:rsid w:val="00A24FAB"/>
    <w:rsid w:val="00A301E7"/>
    <w:rsid w:val="00A42E69"/>
    <w:rsid w:val="00A45CA7"/>
    <w:rsid w:val="00A51415"/>
    <w:rsid w:val="00A6014E"/>
    <w:rsid w:val="00A60356"/>
    <w:rsid w:val="00A81DF1"/>
    <w:rsid w:val="00A90EF3"/>
    <w:rsid w:val="00AA7717"/>
    <w:rsid w:val="00AB131E"/>
    <w:rsid w:val="00AB644F"/>
    <w:rsid w:val="00AC3F5E"/>
    <w:rsid w:val="00AE0729"/>
    <w:rsid w:val="00AE7ACF"/>
    <w:rsid w:val="00AF5675"/>
    <w:rsid w:val="00AF5DE3"/>
    <w:rsid w:val="00B06409"/>
    <w:rsid w:val="00B17D66"/>
    <w:rsid w:val="00B35D3A"/>
    <w:rsid w:val="00B422F1"/>
    <w:rsid w:val="00B4612F"/>
    <w:rsid w:val="00B57468"/>
    <w:rsid w:val="00B71531"/>
    <w:rsid w:val="00B7456C"/>
    <w:rsid w:val="00B84131"/>
    <w:rsid w:val="00B8630E"/>
    <w:rsid w:val="00B931F4"/>
    <w:rsid w:val="00B94020"/>
    <w:rsid w:val="00B95573"/>
    <w:rsid w:val="00B96395"/>
    <w:rsid w:val="00BA2AF8"/>
    <w:rsid w:val="00BB2650"/>
    <w:rsid w:val="00BB5BDC"/>
    <w:rsid w:val="00BB7B76"/>
    <w:rsid w:val="00BD233D"/>
    <w:rsid w:val="00BF4EF0"/>
    <w:rsid w:val="00C02E44"/>
    <w:rsid w:val="00C062E2"/>
    <w:rsid w:val="00C147D2"/>
    <w:rsid w:val="00C2075F"/>
    <w:rsid w:val="00C23799"/>
    <w:rsid w:val="00C274C9"/>
    <w:rsid w:val="00C31E02"/>
    <w:rsid w:val="00C51F1A"/>
    <w:rsid w:val="00C54291"/>
    <w:rsid w:val="00C672C3"/>
    <w:rsid w:val="00C712B2"/>
    <w:rsid w:val="00C97FED"/>
    <w:rsid w:val="00CA1DBB"/>
    <w:rsid w:val="00CA2622"/>
    <w:rsid w:val="00CA7F2C"/>
    <w:rsid w:val="00CA7FF8"/>
    <w:rsid w:val="00CB5DE7"/>
    <w:rsid w:val="00CC068D"/>
    <w:rsid w:val="00CC4922"/>
    <w:rsid w:val="00CD1FF6"/>
    <w:rsid w:val="00CD4015"/>
    <w:rsid w:val="00CE25C7"/>
    <w:rsid w:val="00CE3335"/>
    <w:rsid w:val="00CE4849"/>
    <w:rsid w:val="00CE5C8E"/>
    <w:rsid w:val="00CE5F49"/>
    <w:rsid w:val="00CF07CA"/>
    <w:rsid w:val="00D01626"/>
    <w:rsid w:val="00D1633D"/>
    <w:rsid w:val="00D3357D"/>
    <w:rsid w:val="00D33A4D"/>
    <w:rsid w:val="00D33F76"/>
    <w:rsid w:val="00D41F5E"/>
    <w:rsid w:val="00D43DC0"/>
    <w:rsid w:val="00D54E56"/>
    <w:rsid w:val="00D56F1C"/>
    <w:rsid w:val="00D6407D"/>
    <w:rsid w:val="00D93E78"/>
    <w:rsid w:val="00DA2752"/>
    <w:rsid w:val="00DA292C"/>
    <w:rsid w:val="00DC30C4"/>
    <w:rsid w:val="00DC6E91"/>
    <w:rsid w:val="00DC7514"/>
    <w:rsid w:val="00DD3845"/>
    <w:rsid w:val="00DE2AE2"/>
    <w:rsid w:val="00E06E9C"/>
    <w:rsid w:val="00E1687A"/>
    <w:rsid w:val="00E20A2E"/>
    <w:rsid w:val="00E277DE"/>
    <w:rsid w:val="00E27EE9"/>
    <w:rsid w:val="00E3239D"/>
    <w:rsid w:val="00E32C95"/>
    <w:rsid w:val="00E3439B"/>
    <w:rsid w:val="00E42C5F"/>
    <w:rsid w:val="00E65A1B"/>
    <w:rsid w:val="00E72F1F"/>
    <w:rsid w:val="00E934AB"/>
    <w:rsid w:val="00EA06AC"/>
    <w:rsid w:val="00EA08BF"/>
    <w:rsid w:val="00EA24FB"/>
    <w:rsid w:val="00EB3204"/>
    <w:rsid w:val="00EB50BA"/>
    <w:rsid w:val="00EC3D33"/>
    <w:rsid w:val="00ED302A"/>
    <w:rsid w:val="00ED3A42"/>
    <w:rsid w:val="00EE02BC"/>
    <w:rsid w:val="00EE6970"/>
    <w:rsid w:val="00EE7084"/>
    <w:rsid w:val="00EF2A1D"/>
    <w:rsid w:val="00EF38D0"/>
    <w:rsid w:val="00EF3DDF"/>
    <w:rsid w:val="00EF4A8C"/>
    <w:rsid w:val="00F013C9"/>
    <w:rsid w:val="00F2678C"/>
    <w:rsid w:val="00F27B38"/>
    <w:rsid w:val="00F40278"/>
    <w:rsid w:val="00F41832"/>
    <w:rsid w:val="00F448A3"/>
    <w:rsid w:val="00F56988"/>
    <w:rsid w:val="00F620FB"/>
    <w:rsid w:val="00F624BD"/>
    <w:rsid w:val="00F6571F"/>
    <w:rsid w:val="00F8687E"/>
    <w:rsid w:val="00F93331"/>
    <w:rsid w:val="00F9354B"/>
    <w:rsid w:val="00F95549"/>
    <w:rsid w:val="00FA1E24"/>
    <w:rsid w:val="00FA24FB"/>
    <w:rsid w:val="00FA632B"/>
    <w:rsid w:val="00FB38EA"/>
    <w:rsid w:val="00FB5E0F"/>
    <w:rsid w:val="00FB6AFF"/>
    <w:rsid w:val="00FC4D8F"/>
    <w:rsid w:val="00FD06D3"/>
    <w:rsid w:val="00FE3157"/>
    <w:rsid w:val="00FE6865"/>
    <w:rsid w:val="00FE6993"/>
    <w:rsid w:val="067B5DDD"/>
    <w:rsid w:val="2D7B07C1"/>
    <w:rsid w:val="3A9120A8"/>
    <w:rsid w:val="3D2B3D57"/>
    <w:rsid w:val="446753C6"/>
    <w:rsid w:val="4BF8586C"/>
    <w:rsid w:val="4EAF7F71"/>
    <w:rsid w:val="50FF2FF1"/>
    <w:rsid w:val="60413E28"/>
    <w:rsid w:val="61FA53D5"/>
    <w:rsid w:val="62522A22"/>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1153"/>
        <o:r id="V:Rule2" type="connector" idref="#AutoShape 1154"/>
        <o:r id="V:Rule3" type="connector" idref="#AutoShape 1155"/>
        <o:r id="V:Rule4" type="connector" idref="#AutoShape 1156"/>
        <o:r id="V:Rule5" type="connector" idref="#AutoShape 1157"/>
        <o:r id="V:Rule6" type="connector" idref="#AutoShape 1159"/>
        <o:r id="V:Rule7" type="connector" idref="#AutoShape 1161"/>
        <o:r id="V:Rule8" type="connector" idref="#AutoShape 1163"/>
        <o:r id="V:Rule9" type="connector" idref="#AutoShape 1170"/>
        <o:r id="V:Rule10" type="connector" idref="#AutoShape 1171"/>
        <o:r id="V:Rule11" type="connector" idref="#AutoShape 1173"/>
        <o:r id="V:Rule12" type="connector" idref="#AutoShape 1174"/>
        <o:r id="V:Rule13" type="connector" idref="#AutoShape 1177"/>
        <o:r id="V:Rule14" type="connector" idref="#AutoShape 1178"/>
        <o:r id="V:Rule15" type="connector" idref="#AutoShape 1179"/>
        <o:r id="V:Rule16" type="connector" idref="#AutoShape 1182"/>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qFormat/>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1"/>
    <w:unhideWhenUsed/>
    <w:qFormat/>
    <w:uiPriority w:val="99"/>
    <w:pPr>
      <w:jc w:val="left"/>
    </w:pPr>
    <w:rPr>
      <w:rFonts w:ascii="Calibri" w:hAnsi="Calibri" w:eastAsia="宋体" w:cs="Times New Roman"/>
    </w:rPr>
  </w:style>
  <w:style w:type="paragraph" w:styleId="7">
    <w:name w:val="Balloon Text"/>
    <w:basedOn w:val="1"/>
    <w:link w:val="29"/>
    <w:unhideWhenUsed/>
    <w:qFormat/>
    <w:uiPriority w:val="0"/>
    <w:rPr>
      <w:sz w:val="18"/>
      <w:szCs w:val="18"/>
    </w:rPr>
  </w:style>
  <w:style w:type="paragraph" w:styleId="8">
    <w:name w:val="footer"/>
    <w:basedOn w:val="1"/>
    <w:link w:val="28"/>
    <w:unhideWhenUsed/>
    <w:qFormat/>
    <w:uiPriority w:val="99"/>
    <w:pPr>
      <w:tabs>
        <w:tab w:val="center" w:pos="4153"/>
        <w:tab w:val="right" w:pos="8306"/>
      </w:tabs>
      <w:snapToGrid w:val="0"/>
      <w:jc w:val="left"/>
    </w:pPr>
    <w:rPr>
      <w:sz w:val="18"/>
      <w:szCs w:val="18"/>
    </w:rPr>
  </w:style>
  <w:style w:type="paragraph" w:styleId="9">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qFormat/>
    <w:uiPriority w:val="99"/>
    <w:rPr>
      <w:rFonts w:hint="default" w:ascii="ˎ̥" w:hAnsi="ˎ̥"/>
      <w:color w:val="0453CC"/>
      <w:sz w:val="20"/>
      <w:szCs w:val="20"/>
      <w:u w:val="none"/>
    </w:rPr>
  </w:style>
  <w:style w:type="character" w:styleId="15">
    <w:name w:val="annotation reference"/>
    <w:basedOn w:val="13"/>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qFormat/>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99"/>
    <w:pPr>
      <w:ind w:firstLine="420" w:firstLineChars="200"/>
    </w:pPr>
  </w:style>
  <w:style w:type="paragraph" w:customStyle="1" w:styleId="20">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qFormat/>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qFormat/>
    <w:uiPriority w:val="0"/>
    <w:pPr>
      <w:widowControl/>
    </w:pPr>
    <w:rPr>
      <w:rFonts w:ascii="Calibri" w:hAnsi="Calibri" w:eastAsia="宋体" w:cs="宋体"/>
      <w:kern w:val="0"/>
      <w:szCs w:val="21"/>
    </w:rPr>
  </w:style>
  <w:style w:type="character" w:customStyle="1" w:styleId="27">
    <w:name w:val="页眉 Char"/>
    <w:basedOn w:val="13"/>
    <w:link w:val="9"/>
    <w:qFormat/>
    <w:uiPriority w:val="99"/>
    <w:rPr>
      <w:sz w:val="18"/>
      <w:szCs w:val="18"/>
    </w:rPr>
  </w:style>
  <w:style w:type="character" w:customStyle="1" w:styleId="28">
    <w:name w:val="页脚 Char"/>
    <w:basedOn w:val="13"/>
    <w:link w:val="8"/>
    <w:qFormat/>
    <w:uiPriority w:val="99"/>
    <w:rPr>
      <w:sz w:val="18"/>
      <w:szCs w:val="18"/>
    </w:rPr>
  </w:style>
  <w:style w:type="character" w:customStyle="1" w:styleId="29">
    <w:name w:val="批注框文本 Char"/>
    <w:basedOn w:val="13"/>
    <w:link w:val="7"/>
    <w:semiHidden/>
    <w:qFormat/>
    <w:uiPriority w:val="0"/>
    <w:rPr>
      <w:sz w:val="18"/>
      <w:szCs w:val="18"/>
    </w:rPr>
  </w:style>
  <w:style w:type="character" w:customStyle="1" w:styleId="30">
    <w:name w:val="HTML 预设格式 Char"/>
    <w:basedOn w:val="13"/>
    <w:link w:val="11"/>
    <w:qFormat/>
    <w:uiPriority w:val="99"/>
    <w:rPr>
      <w:rFonts w:ascii="宋体" w:hAnsi="宋体" w:eastAsia="宋体" w:cs="宋体"/>
      <w:kern w:val="0"/>
      <w:sz w:val="24"/>
      <w:szCs w:val="24"/>
    </w:rPr>
  </w:style>
  <w:style w:type="character" w:customStyle="1" w:styleId="31">
    <w:name w:val="批注文字 Char"/>
    <w:basedOn w:val="13"/>
    <w:link w:val="6"/>
    <w:semiHidden/>
    <w:qFormat/>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qFormat/>
    <w:uiPriority w:val="99"/>
    <w:rPr>
      <w:kern w:val="2"/>
      <w:sz w:val="18"/>
      <w:szCs w:val="18"/>
    </w:rPr>
  </w:style>
  <w:style w:type="character" w:customStyle="1" w:styleId="36">
    <w:name w:val="脚注文本 Char1"/>
    <w:basedOn w:val="13"/>
    <w:link w:val="10"/>
    <w:semiHidden/>
    <w:qFormat/>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qFormat/>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348</Words>
  <Characters>1985</Characters>
  <Lines>16</Lines>
  <Paragraphs>4</Paragraphs>
  <ScaleCrop>false</ScaleCrop>
  <LinksUpToDate>false</LinksUpToDate>
  <CharactersWithSpaces>0</CharactersWithSpaces>
  <Application>WPS Office 专业版_9.1.0.5019_F1E327BC-269C-435d-A152-05C5408002CA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2020-03-17T08:13:00Z</dcterms:created>
  <dc:creator>裴建君2</dc:creator>
  <cp:lastModifiedBy>陈炅炜</cp:lastModifiedBy>
  <cp:lastPrinted>2017-11-24T00:22:00Z</cp:lastPrinted>
  <dcterms:modified xsi:type="dcterms:W3CDTF">2023-08-18T08:17:13Z</dcterms:modified>
  <dc:title>编号：57007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2052-9.1.0.5019</vt:lpwstr>
  </property>
</Properties>
</file>