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非银行金融机构（不含保险公司）资本金（或营运资金）本外币转换管理</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bookmarkStart w:id="0" w:name="_GoBack"/>
      <w:bookmarkEnd w:id="0"/>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995"/>
        <w:gridCol w:w="964"/>
        <w:gridCol w:w="440"/>
        <w:gridCol w:w="857"/>
        <w:gridCol w:w="245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包括公司概况，本外币转换的依据以及是否符合有关主管部门的规定，购汇的币种、金额、资金用途等</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76" o:spid="_x0000_s1026" style="position:absolute;left:0;margin-left:-9pt;margin-top:10.1pt;height:586.05pt;width:450.7pt;rotation:0f;z-index:251658240;" coordorigin="-93,0" coordsize="9014,11721">
            <o:lock v:ext="edit" position="f" selection="f" grouping="f" rotation="f" cropping="f" text="f" aspectratio="f"/>
            <v:rect id="Rectangle 3"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5" style="position:absolute;left:-93;top:0;height:7693;width:9014;rotation:0f;" coordorigin="-93,0" coordsize="9014,7693">
              <o:lock v:ext="edit" position="f" selection="f" grouping="f" rotation="f" cropping="f" text="f" aspectratio="f"/>
              <v:shape id="AutoShape 12"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7" style="position:absolute;left:-93;top:0;height:7693;width:9014;rotation:0f;" coordorigin="-93,0" coordsize="9014,7693">
                <o:lock v:ext="edit" position="f" selection="f" grouping="f" rotation="f" cropping="f" text="f" aspectratio="f"/>
                <v:shape id="AutoShape 14"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5"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6" style="position:absolute;left:-93;top:0;height:7424;width:4687;rotation:0f;" coordorigin="-93,0" coordsize="4687,7424">
                  <o:lock v:ext="edit" position="f" selection="f" grouping="f" rotation="f" cropping="f" text="f" aspectratio="f"/>
                  <v:shape id="AutoShape 23"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49" style="position:absolute;left:-93;top:0;height:3986;width:3737;rotation:0f;" coordorigin="-93,0" coordsize="3737,3986">
                    <o:lock v:ext="edit" position="f" selection="f" grouping="f" rotation="f" cropping="f" text="f" aspectratio="f"/>
                    <v:shape id="AutoShape 26"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1" type="#_x0000_t32" style="position:absolute;left:2890;top:2961;height:6;width:75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2"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59" type="#_x0000_t32" style="position:absolute;left:7605;top:1875;flip:x y;height:11;width:131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4"/>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66209AA"/>
    <w:rsid w:val="09F14838"/>
    <w:rsid w:val="0EE2574B"/>
    <w:rsid w:val="1C893960"/>
    <w:rsid w:val="22715F0F"/>
    <w:rsid w:val="25C529F5"/>
    <w:rsid w:val="27542FBC"/>
    <w:rsid w:val="27A06B10"/>
    <w:rsid w:val="2E7632C6"/>
    <w:rsid w:val="36091134"/>
    <w:rsid w:val="48CB55FA"/>
    <w:rsid w:val="54E725D7"/>
    <w:rsid w:val="64B557C6"/>
    <w:rsid w:val="6C3000EF"/>
    <w:rsid w:val="70D127A3"/>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陈炅炜</cp:lastModifiedBy>
  <cp:lastPrinted>2017-11-24T00:22:00Z</cp:lastPrinted>
  <dcterms:modified xsi:type="dcterms:W3CDTF">2021-04-01T06:24:10Z</dcterms:modified>
  <dc:title>“非银行金融机构（不含保险公司）资本金（或营运资金）本外币转换管理”行政审批服务指南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