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银行（含农村信用社）即期结售汇业务市场准入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1.银行总行。政策性银行、全国性商业银行，决定机构为国家外汇管理局；其他银行决定机构为所在地国家外汇管理局分局（外汇管理部）。外国银行分行视同总行管理。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陕西省分局办公地址：西安市高新路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49号，中国人民银行西安分行机关大楼815房间。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6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7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8" type="#_x0000_t32" style="position:absolute;left:0;flip:x;margin-left:41.45pt;margin-top:21.05pt;height:0.05pt;width:232.15pt;rotation:0f;z-index:25166233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29" type="#_x0000_t32" style="position:absolute;left:0;margin-left:40.6pt;margin-top:6.65pt;height:73.4pt;width:0.8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0" type="#_x0000_t32" style="position:absolute;left:0;margin-left:40.6pt;margin-top:182.85pt;height:0.05pt;width:41.1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1" type="#_x0000_t32" style="position:absolute;left:0;margin-left:40.6pt;margin-top:113.3pt;height:69.55pt;width:0.05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2" type="#_x0000_t32" style="position:absolute;left:0;margin-left:93.35pt;margin-top:101.65pt;height:0.05pt;width:58.6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3" type="#_x0000_t32" style="position:absolute;left:0;margin-left:237.35pt;margin-top:253.15pt;height:45.25pt;width:0.85pt;rotation:0f;z-index:2516643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4" type="#_x0000_t32" style="position:absolute;left:0;margin-left:131.6pt;margin-top:253.15pt;height:45.25pt;width:0.05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5" type="#_x0000_t32" style="position:absolute;left:0;margin-left:179.6pt;margin-top:204.6pt;height:21.85pt;width:0.0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6" type="#_x0000_t32" style="position:absolute;left:0;margin-left:89.25pt;margin-top:61.45pt;height:0.05pt;width:62.7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7" style="position:absolute;left:0;margin-left:199.5pt;margin-top:298.4pt;height:58.6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8" style="position:absolute;left:0;margin-left:81.65pt;margin-top:298.4pt;height:58.6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39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0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1" type="#_x0000_t32" style="position:absolute;left:0;flip:y;margin-left:319.55pt;margin-top:4.1pt;height:44.75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2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3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4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19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授权银行签章备案银行签章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年月日年月人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25F20F0"/>
    <w:rsid w:val="05C36005"/>
    <w:rsid w:val="14247998"/>
    <w:rsid w:val="23424069"/>
    <w:rsid w:val="24983E03"/>
    <w:rsid w:val="4E0E7CF0"/>
    <w:rsid w:val="634F26AF"/>
    <w:rsid w:val="6B0543B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555</Words>
  <Characters>3168</Characters>
  <Lines>26</Lines>
  <Paragraphs>7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陈炅炜</cp:lastModifiedBy>
  <cp:lastPrinted>2017-11-24T00:22:00Z</cp:lastPrinted>
  <dcterms:modified xsi:type="dcterms:W3CDTF">2021-03-26T01:11:40Z</dcterms:modified>
  <dc:title>“银行（含农村信用社）即期结售汇业务市场准入”行政审批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