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上市公司回购B股股份购汇额度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Times New Roman" w:hAnsi="Times New Roman" w:eastAsia="黑体" w:cs="Times New Roman"/>
          <w:sz w:val="52"/>
          <w:szCs w:val="52"/>
        </w:rPr>
        <w:t>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83"/>
        <w:gridCol w:w="981"/>
        <w:gridCol w:w="461"/>
        <w:gridCol w:w="923"/>
        <w:gridCol w:w="328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4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87" w:type="dxa"/>
            <w:vAlign w:val="center"/>
          </w:tcPr>
          <w:p>
            <w:pPr>
              <w:keepNext/>
              <w:keepLines/>
              <w:widowControl w:val="0"/>
              <w:wordWrap/>
              <w:adjustRightInd/>
              <w:snapToGrid/>
              <w:spacing w:before="340" w:after="33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说明回购的原因、方案，是否已向国家证券监督主管部门报备等情况</w:t>
            </w: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经公告的回购报告书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纸质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业务窗口提交材料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adjustRightInd w:val="0"/>
        <w:snapToGrid w:val="0"/>
        <w:spacing w:line="540" w:lineRule="exact"/>
        <w:ind w:firstLine="6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150558；029-88150690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网址：</w:t>
      </w:r>
      <w:r>
        <w:rPr>
          <w:rFonts w:ascii="Calibri" w:hAnsi="Calibri" w:eastAsia="宋体" w:cs="黑体"/>
          <w:color w:val="auto"/>
        </w:rPr>
        <w:fldChar w:fldCharType="begin"/>
      </w:r>
      <w:r>
        <w:rPr>
          <w:rFonts w:ascii="Calibri" w:hAnsi="Calibri" w:eastAsia="宋体" w:cs="黑体"/>
          <w:color w:val="auto"/>
        </w:rPr>
        <w:instrText xml:space="preserve"> HYPERLINK "http://www.safe.gov.cn" </w:instrText>
      </w:r>
      <w:r>
        <w:rPr>
          <w:rFonts w:ascii="Calibri" w:hAnsi="Calibri" w:eastAsia="宋体" w:cs="黑体"/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0"/>
        </w:rPr>
        <w:t>www.safe.gov.cn</w:t>
      </w:r>
      <w:r>
        <w:rPr>
          <w:rFonts w:ascii="Times New Roman" w:hAnsi="Times New Roman" w:eastAsia="仿宋_GB2312" w:cs="Times New Roman"/>
          <w:color w:val="auto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（十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）办公地址和时间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办公地址：西安市高新路49号，中国人民银行西安分行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机关大楼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908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房间。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" o:spid="_x0000_s1026" style="position:absolute;left:0;margin-left:-4.45pt;margin-top:8.9pt;height:586.05pt;width:452.8pt;rotation:0f;z-index:251658240;" coordorigin="1229,3000" coordsize="9056,11721">
            <o:lock v:ext="edit" position="f" selection="f" grouping="f" rotation="f" cropping="f" text="f" aspectratio="f"/>
            <v:rect id="Rectangle 3" o:spid="_x0000_s1027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0" type="#_x0000_t32" style="position:absolute;left:5729;top:10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7" o:spid="_x0000_s1031" type="#_x0000_t32" style="position:absolute;left:7678;top:12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8" o:spid="_x0000_s1032" type="#_x0000_t32" style="position:absolute;left:3705;top:12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9" o:spid="_x0000_s1033" type="#_x0000_t32" style="position:absolute;left:5730;top:11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4" type="#_x0000_t32" style="position:absolute;left:3706;top:12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1" o:spid="_x0000_s1035" style="position:absolute;left:1229;top:3000;height:7693;width:9056;rotation:0f;" coordorigin="1229,3000" coordsize="9056,7693">
              <o:lock v:ext="edit" position="f" selection="f" grouping="f" rotation="f" cropping="f" text="f" aspectratio="f"/>
              <v:shape id="AutoShape 12" o:spid="_x0000_s1036" type="#_x0000_t32" style="position:absolute;left:7240;top:9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" o:spid="_x0000_s1037" style="position:absolute;left:1229;top:3000;height:7693;width:9056;rotation:0f;" coordorigin="1229,3000" coordsize="9056,7693">
                <o:lock v:ext="edit" position="f" selection="f" grouping="f" rotation="f" cropping="f" text="f" aspectratio="f"/>
                <v:shape id="AutoShape 14" o:spid="_x0000_s1038" type="#_x0000_t34" style="position:absolute;left:7714;top:6155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5" o:spid="_x0000_s1039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0" type="#_x0000_t32" style="position:absolute;left:7240;top:7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7" o:spid="_x0000_s1041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2" type="#_x0000_t4" style="position:absolute;left:5503;top:7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3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1" o:spid="_x0000_s1045" type="#_x0000_t116" style="position:absolute;left:6015;top:4254;height:1575;width:29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6" style="position:absolute;left:1229;top:3000;height:7424;width:4712;rotation:0f;" coordorigin="1229,3000" coordsize="4712,7424">
                  <o:lock v:ext="edit" position="f" selection="f" grouping="f" rotation="f" cropping="f" text="f" aspectratio="f"/>
                  <v:shape id="AutoShape 23" o:spid="_x0000_s1047" type="#_x0000_t32" style="position:absolute;left:5010;top:6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4" o:spid="_x0000_s1048" type="#_x0000_t32" style="position:absolute;left:2702;top:6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25" o:spid="_x0000_s1049" style="position:absolute;left:1229;top:3000;height:4015;width:3747;rotation:0f;" coordorigin="1229,3000" coordsize="3747,4015">
                    <o:lock v:ext="edit" position="f" selection="f" grouping="f" rotation="f" cropping="f" text="f" aspectratio="f"/>
                    <v:shape id="AutoShape 26" o:spid="_x0000_s1050" type="#_x0000_t32" style="position:absolute;left:2743;top:4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7" o:spid="_x0000_s1051" type="#_x0000_t32" style="position:absolute;left:4205;top:5967;height:0;width:77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8" o:spid="_x0000_s1052" type="#_x0000_t4" style="position:absolute;left:1229;top:4919;height:2096;width:2976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4" type="#_x0000_t32" style="position:absolute;left:2702;top:10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1" o:spid="_x0000_s1055" type="#_x0000_t32" style="position:absolute;left:5010;top:4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2" o:spid="_x0000_s1056" type="#_x0000_t32" style="position:absolute;left:5010;top:4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3" o:spid="_x0000_s1057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59" type="#_x0000_t32" style="position:absolute;left:8983;top:4886;flip:x y;height:2;width:1302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441C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4312"/>
    <w:rsid w:val="00565FF3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7B2F"/>
    <w:rsid w:val="006B5B86"/>
    <w:rsid w:val="006C5908"/>
    <w:rsid w:val="006C633E"/>
    <w:rsid w:val="006D734F"/>
    <w:rsid w:val="006E043F"/>
    <w:rsid w:val="006E1E0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  <w:rsid w:val="05B44816"/>
    <w:rsid w:val="12FD2134"/>
    <w:rsid w:val="16D15024"/>
    <w:rsid w:val="16FC4BC3"/>
    <w:rsid w:val="1EA02CCB"/>
    <w:rsid w:val="20472970"/>
    <w:rsid w:val="28960322"/>
    <w:rsid w:val="2F537431"/>
    <w:rsid w:val="367B5BEF"/>
    <w:rsid w:val="3C173922"/>
    <w:rsid w:val="47A01390"/>
    <w:rsid w:val="4B7E1125"/>
    <w:rsid w:val="4ED129DC"/>
    <w:rsid w:val="501326C8"/>
    <w:rsid w:val="567B4E56"/>
    <w:rsid w:val="67FD6528"/>
    <w:rsid w:val="771C4DF6"/>
    <w:rsid w:val="78DC1D98"/>
    <w:rsid w:val="7D121F3E"/>
    <w:rsid w:val="7F124F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  <o:r id="V:Rule6" type="connector" idref="#AutoShape 12"/>
        <o:r id="V:Rule7" type="connector" idref="#AutoShape 14"/>
        <o:r id="V:Rule8" type="connector" idref="#AutoShape 16"/>
        <o:r id="V:Rule9" type="connector" idref="#AutoShape 23"/>
        <o:r id="V:Rule10" type="connector" idref="#AutoShape 24"/>
        <o:r id="V:Rule11" type="connector" idref="#AutoShape 26"/>
        <o:r id="V:Rule12" type="connector" idref="#AutoShape 27"/>
        <o:r id="V:Rule13" type="connector" idref="#AutoShape 30"/>
        <o:r id="V:Rule14" type="connector" idref="#AutoShape 31"/>
        <o:r id="V:Rule15" type="connector" idref="#AutoShape 32"/>
        <o:r id="V:Rule16" type="connector" idref="#AutoShape 35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qFormat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陈炅炜</cp:lastModifiedBy>
  <cp:lastPrinted>2017-11-24T00:22:00Z</cp:lastPrinted>
  <dcterms:modified xsi:type="dcterms:W3CDTF">2021-03-25T08:48:42Z</dcterms:modified>
  <dc:title>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