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300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 xml:space="preserve">           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 xml:space="preserve">“出口收汇事前审核” </w:t>
      </w: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行政审批服务指南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发布机构：国家外汇管理局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陕西省分局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   一、项目信息</w:t>
      </w:r>
    </w:p>
    <w:p>
      <w:pPr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项目名称：出口单位出口收汇核查；</w:t>
      </w:r>
    </w:p>
    <w:p>
      <w:pPr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项目编号：57002；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子项名称：出口收汇事前审核；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审批类别：行政许可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二、适用范围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本指南适用于“出口收汇事前审核”的申请和办理。</w:t>
      </w:r>
    </w:p>
    <w:p>
      <w:pPr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三、设定依据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《中华人民共和国外汇管理条例》（国务院令第532号）第十二条：“经常项目外汇收支应当具有真实、合法的交易基础。经营结汇、售汇业务的金融机构应当按照国务院外汇管理部门的规定，对交易单证的真实性及其与外汇收支的一致性进行合理审查。外汇管理机关有权对前款规定事项进行监督检查。”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（二）《国务院对确需保留的行政审批项目设定行政许可的决定》（国务院令第412号）附件第489项“出口单位出口收汇差额核销、核销备查核准”。</w:t>
      </w:r>
    </w:p>
    <w:p>
      <w:pPr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四、办理依据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（一）《中华人民共和国外汇管理条例》（国务院令第532号）；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（二）《国家外汇管理局关于印发货物贸易外汇管理法规有关问题的通知》（汇发〔2012〕38号）；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bidi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三</w:t>
      </w:r>
      <w:r>
        <w:rPr>
          <w:rFonts w:ascii="Times New Roman" w:hAnsi="Times New Roman" w:eastAsia="仿宋_GB2312" w:cs="Times New Roman"/>
          <w:sz w:val="30"/>
          <w:szCs w:val="30"/>
        </w:rPr>
        <w:t>）《国家外汇管理局关于进一步促进跨境贸易投资便利化的通知》（汇发〔2019〕28号）</w:t>
      </w:r>
      <w:r>
        <w:rPr>
          <w:rFonts w:ascii="Times New Roman" w:hAnsi="Times New Roman" w:eastAsia="仿宋_GB2312" w:cs="Times New Roman"/>
          <w:sz w:val="30"/>
          <w:szCs w:val="30"/>
          <w:lang w:bidi="zh-CN"/>
        </w:rPr>
        <w:t>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bidi="zh-CN"/>
        </w:rPr>
      </w:pPr>
      <w:r>
        <w:rPr>
          <w:rFonts w:ascii="Times New Roman" w:hAnsi="Times New Roman" w:eastAsia="仿宋_GB2312" w:cs="Times New Roman"/>
          <w:sz w:val="30"/>
          <w:szCs w:val="30"/>
          <w:lang w:bidi="zh-CN"/>
        </w:rPr>
        <w:t>（四）《国家外汇管理局关于优化外汇管理 支持涉外业务发展的通知》（汇发〔2020〕8号）；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（五）《国家外汇管理局关于印发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〈</w:t>
      </w:r>
      <w:r>
        <w:rPr>
          <w:rFonts w:ascii="Times New Roman" w:hAnsi="Times New Roman" w:eastAsia="仿宋_GB2312" w:cs="Times New Roman"/>
          <w:sz w:val="30"/>
          <w:szCs w:val="30"/>
        </w:rPr>
        <w:t>经常项目外汇业务指引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2020年版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）〉</w:t>
      </w:r>
      <w:r>
        <w:rPr>
          <w:rFonts w:ascii="Times New Roman" w:hAnsi="Times New Roman" w:eastAsia="仿宋_GB2312" w:cs="Times New Roman"/>
          <w:sz w:val="30"/>
          <w:szCs w:val="30"/>
        </w:rPr>
        <w:t>的通知》（汇发〔2020〕14号）</w:t>
      </w:r>
      <w:r>
        <w:rPr>
          <w:rFonts w:ascii="Times New Roman" w:hAnsi="Times New Roman" w:eastAsia="仿宋_GB2312" w:cs="Times New Roman"/>
          <w:sz w:val="30"/>
          <w:szCs w:val="30"/>
          <w:lang w:bidi="zh-CN"/>
        </w:rPr>
        <w:t>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五、受理机构</w:t>
      </w:r>
    </w:p>
    <w:p>
      <w:pPr>
        <w:ind w:firstLine="596" w:firstLineChars="200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pacing w:val="-1"/>
          <w:sz w:val="30"/>
          <w:szCs w:val="30"/>
          <w:highlight w:val="none"/>
        </w:rPr>
        <w:t>国家外汇管理局陕西省分局。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六、决定机构</w:t>
      </w:r>
    </w:p>
    <w:p>
      <w:pPr>
        <w:ind w:firstLine="596" w:firstLineChars="200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pacing w:val="-1"/>
          <w:sz w:val="30"/>
          <w:szCs w:val="30"/>
          <w:highlight w:val="none"/>
        </w:rPr>
        <w:t>国家外汇管理局陕西省分局。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七、审批数量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无数量限制。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八、办事条件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（一）申请人条件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1.C类企业；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2.超过收汇额度的B类企业；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3.发生90天以上（不含）延期收款的B类企业；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办理</w:t>
      </w:r>
      <w:r>
        <w:rPr>
          <w:rFonts w:ascii="Times New Roman" w:hAnsi="Times New Roman" w:eastAsia="仿宋_GB2312" w:cs="Times New Roman"/>
          <w:sz w:val="30"/>
          <w:szCs w:val="30"/>
        </w:rPr>
        <w:t>退汇日期与原收、付款日期间隔在180天以上（不含）或由于特殊情况无法原路退回的退汇业务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时，</w:t>
      </w:r>
      <w:r>
        <w:rPr>
          <w:rFonts w:ascii="Times New Roman" w:hAnsi="Times New Roman" w:eastAsia="仿宋_GB2312" w:cs="Times New Roman"/>
          <w:sz w:val="30"/>
          <w:szCs w:val="30"/>
        </w:rPr>
        <w:t>A类企业单笔等值5万美元以上（不含）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B、C类企业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5.需要将待核查账户内误入的资本项目资金结汇或划出的企业；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办理新出现的贸易新业态外汇收入业务的企业。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（二）具备或符合如下条件的，准予批准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1.对于C类企业：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交易合规：C类企业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原则上</w:t>
      </w:r>
      <w:r>
        <w:rPr>
          <w:rFonts w:ascii="Times New Roman" w:hAnsi="Times New Roman" w:eastAsia="仿宋_GB2312" w:cs="Times New Roman"/>
          <w:sz w:val="30"/>
          <w:szCs w:val="30"/>
        </w:rPr>
        <w:t>不得签订包含90天以上（不含）收汇条款的出口合同；不得办理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离岸转手买卖</w:t>
      </w:r>
      <w:r>
        <w:rPr>
          <w:rFonts w:ascii="Times New Roman" w:hAnsi="Times New Roman" w:eastAsia="仿宋_GB2312" w:cs="Times New Roman"/>
          <w:sz w:val="30"/>
          <w:szCs w:val="30"/>
        </w:rPr>
        <w:t>外汇收入；</w:t>
      </w:r>
      <w:r>
        <w:rPr>
          <w:rFonts w:ascii="Times New Roman" w:hAnsi="Times New Roman" w:eastAsia="仿宋_GB2312" w:cs="Times New Roman"/>
          <w:sz w:val="30"/>
          <w:szCs w:val="30"/>
        </w:rPr>
        <w:br/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2.对于超过收汇额度的B类企业：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交易合规：B类企业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原则上</w:t>
      </w:r>
      <w:r>
        <w:rPr>
          <w:rFonts w:ascii="Times New Roman" w:hAnsi="Times New Roman" w:eastAsia="仿宋_GB2312" w:cs="Times New Roman"/>
          <w:sz w:val="30"/>
          <w:szCs w:val="30"/>
        </w:rPr>
        <w:t>不得签订包含90天以上（不含）收汇条款的出口合同；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不得办理离岸转手买卖</w:t>
      </w:r>
      <w:r>
        <w:rPr>
          <w:rFonts w:ascii="Times New Roman" w:hAnsi="Times New Roman" w:eastAsia="仿宋_GB2312" w:cs="Times New Roman"/>
          <w:sz w:val="30"/>
          <w:szCs w:val="30"/>
        </w:rPr>
        <w:t>外汇收入；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3.对于90天（不含）以上延期收款的B类企业：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交易合规：</w:t>
      </w:r>
      <w:r>
        <w:rPr>
          <w:rFonts w:ascii="Times New Roman" w:hAnsi="Times New Roman" w:eastAsia="仿宋_GB2312" w:cs="Times New Roman"/>
          <w:sz w:val="30"/>
          <w:szCs w:val="30"/>
        </w:rPr>
        <w:t>在分类监管有效期内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，此前导致降级的情况已改善或纠正，</w:t>
      </w:r>
      <w:r>
        <w:rPr>
          <w:rFonts w:ascii="Times New Roman" w:hAnsi="Times New Roman" w:eastAsia="仿宋_GB2312" w:cs="Times New Roman"/>
          <w:sz w:val="30"/>
          <w:szCs w:val="30"/>
        </w:rPr>
        <w:t>且没有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发生法规规定情形</w:t>
      </w:r>
      <w:r>
        <w:rPr>
          <w:rFonts w:ascii="Times New Roman" w:hAnsi="Times New Roman" w:eastAsia="仿宋_GB2312" w:cs="Times New Roman"/>
          <w:sz w:val="30"/>
          <w:szCs w:val="30"/>
        </w:rPr>
        <w:t>的，自列入B类之日起6个月后，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</w:t>
      </w:r>
      <w:r>
        <w:rPr>
          <w:rFonts w:ascii="Times New Roman" w:hAnsi="Times New Roman" w:eastAsia="仿宋_GB2312" w:cs="Times New Roman"/>
          <w:sz w:val="30"/>
          <w:szCs w:val="30"/>
        </w:rPr>
        <w:t>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外汇局</w:t>
      </w:r>
      <w:r>
        <w:rPr>
          <w:rFonts w:ascii="Times New Roman" w:hAnsi="Times New Roman" w:eastAsia="仿宋_GB2312" w:cs="Times New Roman"/>
          <w:sz w:val="30"/>
          <w:szCs w:val="30"/>
        </w:rPr>
        <w:t>登记办理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该</w:t>
      </w:r>
      <w:r>
        <w:rPr>
          <w:rFonts w:ascii="Times New Roman" w:hAnsi="Times New Roman" w:eastAsia="仿宋_GB2312" w:cs="Times New Roman"/>
          <w:sz w:val="30"/>
          <w:szCs w:val="30"/>
        </w:rPr>
        <w:t>业务。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4.对于超期限或无法原路退汇的企业：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交易合规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5.对于需要将待核查账户内误入的资本项目资金结汇或划出的企业：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交易合规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办理新出现的贸易新业态外汇收入的企业：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交易合规。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禁止性要求：1.申请材料不齐全，不符合法规规定。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2.申请业务不具有真实、合法的交易背景。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九、申请材料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（一）C类企业出口收汇登记申请材料清单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11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98"/>
        <w:gridCol w:w="1100"/>
        <w:gridCol w:w="629"/>
        <w:gridCol w:w="946"/>
        <w:gridCol w:w="2987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说明需登记的事项和具体内容。对于贸易付汇的退汇收入，应在书面申请中具体说明退汇原因以及退汇同时是否发生货物退运。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对于代理出口业务，代理方为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类企业的，应当按规定办理贸易外汇收入登记。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收汇凭证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收入未进待核查账户的，可免于提交。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keepNext/>
              <w:keepLines/>
              <w:spacing w:before="260" w:after="260" w:line="416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1.一般情况（含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因汇路不畅需要使用外币现钞结算的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，应提交出口合同；2.对于贸易付汇的退汇收入，因错误汇出以外的其他原因产生的，提交原进口合同。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预收货款方式结算时提供；出口贸易融资放款时提供。 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报关单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除信用证、托收、预收货款外其他方式结算的，货物已出口报关的，需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报关单，货物不报关的，可提供运输单据等其他材料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；2.因汇路不畅需要使用外币现钞结算的，办理外币现钞结汇业务登记时应提交；3.发生货物退运而产生贸易付汇的退汇收入时应提供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出口报关单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。 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与金融机构签订的融资协议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办理出口贸易融资放款时应提供。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分立、合并证明文件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因企业分立、合并原因导致出口与收入主体不一致的，应提交相关部门出具的分立、合并证明文件。 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外币现钞入境申报单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因汇路不畅需要使用外币现钞结算的，结汇现钞金额达到规定入境申报金额时，应提供经海关签章的外币现钞入境申报单。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原支付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贸易付汇退汇时提供原支付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退汇协议、错汇情况说明等能够证明收汇真实性的材料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（二）超过收汇额度的B类企业出口收汇登记申请材料清单</w:t>
      </w:r>
    </w:p>
    <w:tbl>
      <w:tblPr>
        <w:tblStyle w:val="11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96"/>
        <w:gridCol w:w="1283"/>
        <w:gridCol w:w="457"/>
        <w:gridCol w:w="931"/>
        <w:gridCol w:w="2642"/>
        <w:gridCol w:w="1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说明为B类企业及具有超过可收汇额度收汇需要。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对于代理业务，代理方为B类企业且可收汇额度不足的，应当按规定办理贸易外汇收入登记。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可收汇额度不足的证明材料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汇凭证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收入未进待核查账户的，可免于提交。</w:t>
            </w:r>
          </w:p>
        </w:tc>
        <w:tc>
          <w:tcPr>
            <w:tcW w:w="1208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合同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1.一般情况（含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因汇路不畅需要使用外币现钞结算的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，应提交出口合同；2.对于贸易付汇的退汇收入，因错误汇出以外的其他原因产生的，提交原进口合同。 </w:t>
            </w:r>
          </w:p>
        </w:tc>
        <w:tc>
          <w:tcPr>
            <w:tcW w:w="1208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发票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预收货款方式结算时提供；出口贸易融资放款时提供。 </w:t>
            </w:r>
          </w:p>
        </w:tc>
        <w:tc>
          <w:tcPr>
            <w:tcW w:w="1208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与金融机构签订的融资协议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办理出口贸易融资放款时应提供。</w:t>
            </w:r>
          </w:p>
        </w:tc>
        <w:tc>
          <w:tcPr>
            <w:tcW w:w="1208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报关单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除信用证、托收、预收货款外其他方式结算的，货物已出口报关的，需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报关单，货物不报关的，可提供运输单据等其他材料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；2.因汇路不畅需要使用外币现钞结算的，办理外币现钞结汇业务登记时应提交；3.发生货物退运而产生贸易付汇的退汇收入时应提供。 </w:t>
            </w:r>
          </w:p>
        </w:tc>
        <w:tc>
          <w:tcPr>
            <w:tcW w:w="1208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分立、合并证明文件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因企业分立、合并原因导致出口与收入主体不一致的，应提交相关部门出具的分立、合并证明文件。 </w:t>
            </w:r>
          </w:p>
        </w:tc>
        <w:tc>
          <w:tcPr>
            <w:tcW w:w="1208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外币现钞入境申报单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因汇路不畅需要使用外币现钞结算的，结汇现钞金额达到规定入境申报金额时，应提供经海关签章的外币现钞入境申报单。</w:t>
            </w:r>
          </w:p>
        </w:tc>
        <w:tc>
          <w:tcPr>
            <w:tcW w:w="1208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原支付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贸易付汇退汇时提供原支付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208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退汇协议、错汇情况说明等能够证明收汇真实性的材料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26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（三）90天以上延期收款的B类企业出口收汇登记申请材料清单</w:t>
      </w:r>
    </w:p>
    <w:tbl>
      <w:tblPr>
        <w:tblStyle w:val="11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19"/>
        <w:gridCol w:w="1985"/>
        <w:gridCol w:w="567"/>
        <w:gridCol w:w="850"/>
        <w:gridCol w:w="184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说明需登记的事项和具体内容。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出口合同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出口货物报关单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货物不报关的，可提供运输单据等其他材料</w:t>
            </w:r>
          </w:p>
        </w:tc>
        <w:tc>
          <w:tcPr>
            <w:tcW w:w="992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需90天以上延期收款的证明材料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超期限或无法原路退汇的企业收汇登记申请材料清单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11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19"/>
        <w:gridCol w:w="993"/>
        <w:gridCol w:w="850"/>
        <w:gridCol w:w="992"/>
        <w:gridCol w:w="1560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说明需要登记的具体内容，超期限或无法原路退汇的原因，退汇同时是否发生货物退运。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超期限或无法原路退汇的证明材料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原支出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凭证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收入未进待核查账户的，可免于提交。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keepNext/>
              <w:keepLines/>
              <w:spacing w:before="260" w:after="260" w:line="416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报关单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发生货物退运时提供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出口报关单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原进口合同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因错误汇出以外其他原因产生的贸易付汇退汇，提供原进口合同。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（五）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错汇入</w:t>
      </w:r>
      <w:r>
        <w:rPr>
          <w:rFonts w:ascii="Times New Roman" w:hAnsi="Times New Roman" w:eastAsia="仿宋_GB2312" w:cs="Times New Roman"/>
          <w:sz w:val="30"/>
          <w:szCs w:val="30"/>
        </w:rPr>
        <w:t>待核查账户的资本项目资金结汇或划出登记申请材料清单</w:t>
      </w:r>
    </w:p>
    <w:tbl>
      <w:tblPr>
        <w:tblStyle w:val="11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1"/>
        <w:gridCol w:w="1417"/>
        <w:gridCol w:w="567"/>
        <w:gridCol w:w="851"/>
        <w:gridCol w:w="240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说明需登记的事项和具体内容以及资本项目外汇账户账号。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收汇凭证和资金来源证明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材料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</w:p>
        </w:tc>
        <w:tc>
          <w:tcPr>
            <w:tcW w:w="2409" w:type="dxa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（六）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新出现的贸易新业态出口收汇登记</w:t>
      </w:r>
      <w:r>
        <w:rPr>
          <w:rFonts w:ascii="Times New Roman" w:hAnsi="Times New Roman" w:eastAsia="仿宋_GB2312" w:cs="Times New Roman"/>
          <w:sz w:val="30"/>
          <w:szCs w:val="30"/>
        </w:rPr>
        <w:t>申请材料清单</w:t>
      </w:r>
    </w:p>
    <w:tbl>
      <w:tblPr>
        <w:tblStyle w:val="11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1"/>
        <w:gridCol w:w="1417"/>
        <w:gridCol w:w="709"/>
        <w:gridCol w:w="1134"/>
        <w:gridCol w:w="1701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明登记业务真实性和合理性的材料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原件和复印件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纸质/电子</w:t>
            </w:r>
          </w:p>
        </w:tc>
        <w:tc>
          <w:tcPr>
            <w:tcW w:w="1701" w:type="dxa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十、申请接受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申请人可通过窗口、邮寄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向国家外汇管理局陕西省分局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提交材料。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十一、基本办理流程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（一）申请人提交申请；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（二）决定是否予以受理；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（三）不属于本机构受理范围的，出具不予受理行政许可通知书； 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（四）属于本机构受理范围的，审核申请材料是否齐全或符合法定形式；材料不全或不符合法定形式的，一次性告知补正材料，并出具行政许可补正通知书；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（五）材料齐全的，依法予以受理，并出具行政许可受理通知书；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（六）不予许可的，做出不予许可的行政许可书面决定并说明理由；予以许可的，出具贸易外汇业务登记表。</w:t>
      </w:r>
    </w:p>
    <w:p>
      <w:pPr>
        <w:tabs>
          <w:tab w:val="left" w:pos="615"/>
        </w:tabs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十二、办理方式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一般程序：申请、受理、审查、决定。</w:t>
      </w:r>
    </w:p>
    <w:p>
      <w:pPr>
        <w:tabs>
          <w:tab w:val="left" w:pos="615"/>
        </w:tabs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十三、审批时限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20个工作日。</w:t>
      </w:r>
    </w:p>
    <w:p>
      <w:pPr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十四、审批收费依据及标准</w:t>
      </w:r>
    </w:p>
    <w:p>
      <w:pPr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不收费。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十五、审批结果</w:t>
      </w:r>
    </w:p>
    <w:p>
      <w:pPr>
        <w:ind w:firstLine="6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国家外汇管理局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陕西省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分局向申请企业出具贸易外汇业务登记表。</w:t>
      </w:r>
    </w:p>
    <w:p>
      <w:pPr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十六、结果送达</w:t>
      </w:r>
    </w:p>
    <w:p>
      <w:pPr>
        <w:ind w:firstLine="6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通过现场告知或电话通知申请人，并通过现场领取或邮寄方式将结果送达。</w:t>
      </w:r>
    </w:p>
    <w:p>
      <w:pPr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十七、申请人权利和义务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申请人有权依法提出行政审批申请，依法进行投诉、举报、复议、诉讼等。申请人有义务保证申请材料完整、真实、准确，获批后合法合规办理相关业务。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十八、咨询途径、监督和投诉、公开查询等由所在地分支局办理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向国家外汇局管理局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陕西省分局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咨询、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进度查询、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监督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和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投诉等可通过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电话、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国家外汇局管理局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陕西省分局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官方互联网站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咨询反馈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栏目进行。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电话：029-88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150719；029-88150690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color w:val="auto"/>
          <w:sz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"http://www.safe.gov.cn/" </w:instrText>
      </w:r>
      <w:r>
        <w:rPr>
          <w:color w:val="auto"/>
        </w:rPr>
        <w:fldChar w:fldCharType="separate"/>
      </w:r>
      <w:r>
        <w:rPr>
          <w:rFonts w:ascii="Times New Roman" w:hAnsi="Times New Roman" w:eastAsia="仿宋_GB2312" w:cs="Times New Roman"/>
          <w:color w:val="auto"/>
          <w:sz w:val="30"/>
        </w:rPr>
        <w:t>www.safe.gov.cn</w:t>
      </w:r>
      <w:r>
        <w:rPr>
          <w:color w:val="auto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0"/>
        </w:rPr>
        <w:t>/shaanxi</w:t>
      </w:r>
    </w:p>
    <w:p>
      <w:pPr>
        <w:ind w:firstLine="600"/>
        <w:rPr>
          <w:rFonts w:ascii="Times New Roman" w:hAnsi="Times New Roman" w:eastAsia="黑体" w:cs="Times New Roman"/>
          <w:color w:val="auto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0"/>
          <w:szCs w:val="30"/>
        </w:rPr>
        <w:t>十九、事项审查类型</w:t>
      </w:r>
    </w:p>
    <w:p>
      <w:pPr>
        <w:ind w:firstLine="6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前审后批。</w:t>
      </w:r>
    </w:p>
    <w:p>
      <w:pPr>
        <w:ind w:firstLine="600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>二十、办公地址和时间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办公地址：西安市高新路49号，中国人民银行西安分行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机关大楼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907房间。</w:t>
      </w:r>
    </w:p>
    <w:p>
      <w:pPr>
        <w:ind w:firstLine="600" w:firstLineChars="2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办公时间：工作日8:30-11:30,13:30-17:00。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二十一、常见问题解答和错误示例。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</w:t>
      </w:r>
      <w:r>
        <w:rPr>
          <w:rFonts w:ascii="Times New Roman" w:hAnsi="Times New Roman" w:eastAsia="仿宋_GB2312" w:cs="Times New Roman"/>
          <w:sz w:val="30"/>
          <w:szCs w:val="30"/>
        </w:rPr>
        <w:t>《贸易外汇业务登记表》的有效期是多久？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《贸易外汇业务登记表》有效期原则上不超过1个月。</w:t>
      </w:r>
    </w:p>
    <w:p>
      <w:pPr>
        <w:widowControl/>
        <w:spacing w:line="384" w:lineRule="auto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.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错误示例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企业在填写申请书时，要写明具体的登记业务类型，如B类企业办理90天以上延期收款登记，注意不要只填写B类企业登记业务。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附录一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基本流程图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Flowchart: Terminator 21" o:spid="_x0000_s1026" type="#_x0000_t116" style="position:absolute;left:0;margin-left:-12.9pt;margin-top:26.45pt;height:73.8pt;width:101.35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申请人提出申请，并提交材料</w:t>
                  </w:r>
                </w:p>
              </w:txbxContent>
            </v:textbox>
          </v:shape>
        </w:pic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0" o:spid="_x0000_s1027" type="#_x0000_t32" style="position:absolute;left:0;margin-left:39.75pt;margin-top:6.65pt;height:54.9pt;width:0.85pt;rotation:0f;z-index:251667456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4" o:spid="_x0000_s1028" type="#_x0000_t32" style="position:absolute;left:0;flip:x;margin-left:41.45pt;margin-top:21.05pt;height:0.05pt;width:232.15pt;rotation:0f;z-index:251671552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Rectangle 23" o:spid="_x0000_s1029" style="position:absolute;left:0;margin-left:273.6pt;margin-top:1.6pt;height:33.7pt;width:146.45pt;rotation:0f;z-index:25166028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申请人补全材料</w:t>
                  </w:r>
                </w:p>
              </w:txbxContent>
            </v:textbox>
          </v:rect>
        </w:pict>
      </w:r>
    </w:p>
    <w:p>
      <w:pPr>
        <w:ind w:right="300"/>
        <w:jc w:val="left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Flowchart: Terminator 28" o:spid="_x0000_s1030" type="#_x0000_t116" style="position:absolute;left:0;margin-left:216.4pt;margin-top:371.2pt;height:53.15pt;width:180.85pt;rotation:0f;z-index:25166540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依法作出不予许可决定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Flowchart: Terminator 29" o:spid="_x0000_s1031" type="#_x0000_t116" style="position:absolute;left:0;margin-left:-3.1pt;margin-top:371.2pt;height:52.7pt;width:205.8pt;rotation:0f;z-index:25166643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予以许可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7" o:spid="_x0000_s1032" type="#_x0000_t32" style="position:absolute;left:0;margin-left:122.1pt;margin-top:318.35pt;height:52.85pt;width:0.05pt;rotation:0f;z-index:251674624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5" o:spid="_x0000_s1033" type="#_x0000_t32" style="position:absolute;left:0;margin-left:179.6pt;margin-top:233pt;height:30.55pt;width:0.05pt;rotation:0f;z-index:251672576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Rectangle 26" o:spid="_x0000_s1034" style="position:absolute;left:0;margin-left:81.7pt;margin-top:163.15pt;height:69.85pt;width:210.9pt;rotation:0f;z-index:2516633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材料齐全的，依法予以受理</w:t>
                  </w:r>
                </w:p>
                <w:p/>
              </w:txbxContent>
            </v:textbox>
          </v:rect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2" o:spid="_x0000_s1035" type="#_x0000_t32" style="position:absolute;left:0;margin-left:81.7pt;margin-top:109.6pt;height:0.05pt;width:70.25pt;rotation:0f;z-index:251669504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1" o:spid="_x0000_s1036" type="#_x0000_t32" style="position:absolute;left:0;margin-left:88.45pt;margin-top:61.45pt;height:0.05pt;width:63.5pt;rotation:0f;z-index:251668480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Diamond 22" o:spid="_x0000_s1037" type="#_x0000_t4" style="position:absolute;left:0;margin-left:-41.75pt;margin-top:30.35pt;height:106.45pt;width:163.9pt;rotation:0f;z-index:2516592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接件并于5个工作日内作出是否受理决定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6" o:spid="_x0000_s1038" type="#_x0000_t32" style="position:absolute;left:0;margin-left:247.8pt;margin-top:318.35pt;height:52.85pt;width:0.85pt;rotation:0f;z-index:251673600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Diamond 27" o:spid="_x0000_s1039" type="#_x0000_t4" style="position:absolute;left:0;margin-left:93.35pt;margin-top:263.55pt;height:85.4pt;width:176.8pt;rotation:0f;z-index:25166438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审查报批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8" o:spid="_x0000_s1040" type="#_x0000_t32" style="position:absolute;left:0;margin-left:40.6pt;margin-top:132.2pt;height:50.65pt;width:0.05pt;rotation:0f;z-index:251675648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9" o:spid="_x0000_s1041" type="#_x0000_t32" style="position:absolute;left:0;margin-left:40.6pt;margin-top:182.85pt;height:0.05pt;width:41.1pt;rotation:0f;z-index:251676672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Rectangle 25" o:spid="_x0000_s1042" style="position:absolute;left:0;margin-left:151.95pt;margin-top:91.5pt;height:45.3pt;width:268.1pt;rotation:0f;z-index:25166233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依法不予受理的，作出不予受理决定，出具不予受理通知书</w:t>
                  </w:r>
                </w:p>
              </w:txbxContent>
            </v:textbox>
          </v:rect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Straight Connector 33" o:spid="_x0000_s1043" type="#_x0000_t32" style="position:absolute;left:0;flip:y;margin-left:345.35pt;margin-top:4.1pt;height:44.75pt;width:0.05pt;rotation:0f;z-index:251670528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Rectangle 24" o:spid="_x0000_s1044" style="position:absolute;left:0;margin-left:151.95pt;margin-top:48.85pt;height:25pt;width:268.1pt;rotation:0f;z-index:2516613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材料不全或不符合法定形式的，一次性告知补正材料</w:t>
                  </w:r>
                </w:p>
              </w:txbxContent>
            </v:textbox>
          </v:rect>
        </w:pict>
      </w: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附录二（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材料示范文本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</w:p>
    <w:p>
      <w:pPr>
        <w:widowControl/>
        <w:spacing w:line="384" w:lineRule="auto"/>
        <w:jc w:val="center"/>
        <w:rPr>
          <w:rFonts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pacing w:line="384" w:lineRule="auto"/>
        <w:jc w:val="center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kern w:val="0"/>
          <w:sz w:val="30"/>
          <w:szCs w:val="30"/>
        </w:rPr>
        <w:t>申请书</w:t>
      </w:r>
    </w:p>
    <w:p>
      <w:pPr>
        <w:widowControl/>
        <w:spacing w:line="384" w:lineRule="auto"/>
        <w:jc w:val="center"/>
        <w:rPr>
          <w:rFonts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国家外汇管理局XX分（支）局：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br/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　　一、本次申请业务的基本情况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包括但不限于：业务基本情况介绍、业务类别、结算方式、经办金融机构名称、币种和金额等。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二、申请事项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包括但不限于：需登记的事项，原因（如按法规规定需说明原因的）等其他内容。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三、其他需说明的情况（如无，可不填写）</w:t>
      </w:r>
    </w:p>
    <w:p>
      <w:pPr>
        <w:widowControl/>
        <w:spacing w:line="384" w:lineRule="auto"/>
        <w:ind w:firstLine="600"/>
        <w:jc w:val="left"/>
        <w:rPr>
          <w:rFonts w:ascii="Times New Roman" w:hAnsi="Times New Roman" w:eastAsia="仿宋_GB2312" w:cs="Times New Roman"/>
          <w:kern w:val="0"/>
          <w:sz w:val="30"/>
          <w:szCs w:val="30"/>
          <w:highlight w:val="yellow"/>
        </w:rPr>
      </w:pP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widowControl/>
        <w:spacing w:line="384" w:lineRule="auto"/>
        <w:ind w:firstLine="585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br/>
      </w:r>
    </w:p>
    <w:p>
      <w:pPr>
        <w:widowControl/>
        <w:spacing w:line="384" w:lineRule="auto"/>
        <w:ind w:right="600"/>
        <w:jc w:val="center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                                 单位（盖章）：</w:t>
      </w:r>
    </w:p>
    <w:p>
      <w:pPr>
        <w:ind w:right="600"/>
        <w:jc w:val="center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                                       年  月  日</w:t>
      </w:r>
    </w:p>
    <w:p>
      <w:pPr>
        <w:widowControl/>
        <w:spacing w:line="384" w:lineRule="auto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2434934">
    <w:nsid w:val="601BCDF6"/>
    <w:multiLevelType w:val="singleLevel"/>
    <w:tmpl w:val="601BCDF6"/>
    <w:lvl w:ilvl="0" w:tentative="1">
      <w:start w:val="4"/>
      <w:numFmt w:val="chineseCounting"/>
      <w:suff w:val="nothing"/>
      <w:lvlText w:val="（%1）"/>
      <w:lvlJc w:val="left"/>
    </w:lvl>
  </w:abstractNum>
  <w:num w:numId="1">
    <w:abstractNumId w:val="16124349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1EB8"/>
    <w:rsid w:val="00003D69"/>
    <w:rsid w:val="00007167"/>
    <w:rsid w:val="000112DB"/>
    <w:rsid w:val="00013797"/>
    <w:rsid w:val="00023162"/>
    <w:rsid w:val="0002464A"/>
    <w:rsid w:val="00033020"/>
    <w:rsid w:val="00034D5D"/>
    <w:rsid w:val="00041BE4"/>
    <w:rsid w:val="00045D06"/>
    <w:rsid w:val="000638EC"/>
    <w:rsid w:val="00064189"/>
    <w:rsid w:val="00073221"/>
    <w:rsid w:val="00076826"/>
    <w:rsid w:val="000843E0"/>
    <w:rsid w:val="000854FC"/>
    <w:rsid w:val="00087A9B"/>
    <w:rsid w:val="00087E73"/>
    <w:rsid w:val="0009522D"/>
    <w:rsid w:val="000C068E"/>
    <w:rsid w:val="000D6FD9"/>
    <w:rsid w:val="000F1CA6"/>
    <w:rsid w:val="000F2169"/>
    <w:rsid w:val="000F3004"/>
    <w:rsid w:val="000F3F2E"/>
    <w:rsid w:val="001011EC"/>
    <w:rsid w:val="0010248C"/>
    <w:rsid w:val="00117A1A"/>
    <w:rsid w:val="00117DE2"/>
    <w:rsid w:val="00122C3A"/>
    <w:rsid w:val="00127C13"/>
    <w:rsid w:val="00142554"/>
    <w:rsid w:val="00144D91"/>
    <w:rsid w:val="0014656F"/>
    <w:rsid w:val="0014747A"/>
    <w:rsid w:val="001701AB"/>
    <w:rsid w:val="0017569A"/>
    <w:rsid w:val="001846F8"/>
    <w:rsid w:val="001A3F88"/>
    <w:rsid w:val="001B7D6F"/>
    <w:rsid w:val="001D5EEB"/>
    <w:rsid w:val="001E6D6F"/>
    <w:rsid w:val="0023196A"/>
    <w:rsid w:val="00233898"/>
    <w:rsid w:val="00236980"/>
    <w:rsid w:val="00243FAD"/>
    <w:rsid w:val="00245151"/>
    <w:rsid w:val="002601FB"/>
    <w:rsid w:val="00266BD1"/>
    <w:rsid w:val="00267534"/>
    <w:rsid w:val="002813E0"/>
    <w:rsid w:val="002831EF"/>
    <w:rsid w:val="00283E51"/>
    <w:rsid w:val="002A77BC"/>
    <w:rsid w:val="002D0308"/>
    <w:rsid w:val="002D1698"/>
    <w:rsid w:val="002D43AB"/>
    <w:rsid w:val="002F0411"/>
    <w:rsid w:val="002F43D0"/>
    <w:rsid w:val="003020D3"/>
    <w:rsid w:val="00314861"/>
    <w:rsid w:val="00316276"/>
    <w:rsid w:val="00321DEE"/>
    <w:rsid w:val="00324518"/>
    <w:rsid w:val="0032574B"/>
    <w:rsid w:val="00325CFC"/>
    <w:rsid w:val="00345FC7"/>
    <w:rsid w:val="00355EB5"/>
    <w:rsid w:val="003645B4"/>
    <w:rsid w:val="00364F5D"/>
    <w:rsid w:val="0036739D"/>
    <w:rsid w:val="003719CF"/>
    <w:rsid w:val="00380EE5"/>
    <w:rsid w:val="00395346"/>
    <w:rsid w:val="003A219D"/>
    <w:rsid w:val="003A2508"/>
    <w:rsid w:val="003A6408"/>
    <w:rsid w:val="003B1CD4"/>
    <w:rsid w:val="003C3108"/>
    <w:rsid w:val="003F2446"/>
    <w:rsid w:val="00407A9E"/>
    <w:rsid w:val="00411943"/>
    <w:rsid w:val="004162EF"/>
    <w:rsid w:val="00424D2A"/>
    <w:rsid w:val="00432338"/>
    <w:rsid w:val="00432CE2"/>
    <w:rsid w:val="00437CAF"/>
    <w:rsid w:val="004530BC"/>
    <w:rsid w:val="00462A52"/>
    <w:rsid w:val="0047094B"/>
    <w:rsid w:val="00476AA4"/>
    <w:rsid w:val="004818C1"/>
    <w:rsid w:val="004822E2"/>
    <w:rsid w:val="00482BB3"/>
    <w:rsid w:val="00483627"/>
    <w:rsid w:val="00491602"/>
    <w:rsid w:val="0049563F"/>
    <w:rsid w:val="004A09E7"/>
    <w:rsid w:val="004A1143"/>
    <w:rsid w:val="004A2DF9"/>
    <w:rsid w:val="004A3554"/>
    <w:rsid w:val="004A7D6A"/>
    <w:rsid w:val="004B1782"/>
    <w:rsid w:val="004B3825"/>
    <w:rsid w:val="004C0D11"/>
    <w:rsid w:val="004C1FDE"/>
    <w:rsid w:val="004C35F1"/>
    <w:rsid w:val="004C567D"/>
    <w:rsid w:val="004D441E"/>
    <w:rsid w:val="004E0089"/>
    <w:rsid w:val="004E0B64"/>
    <w:rsid w:val="004E1CA0"/>
    <w:rsid w:val="004F0AEC"/>
    <w:rsid w:val="004F6E0E"/>
    <w:rsid w:val="004F7E6F"/>
    <w:rsid w:val="00500324"/>
    <w:rsid w:val="0050033F"/>
    <w:rsid w:val="0050384B"/>
    <w:rsid w:val="00514F0A"/>
    <w:rsid w:val="00515817"/>
    <w:rsid w:val="0052044D"/>
    <w:rsid w:val="00520D17"/>
    <w:rsid w:val="00537FA6"/>
    <w:rsid w:val="00551E6E"/>
    <w:rsid w:val="00561387"/>
    <w:rsid w:val="00574E67"/>
    <w:rsid w:val="0057646C"/>
    <w:rsid w:val="00583B2D"/>
    <w:rsid w:val="00583E2D"/>
    <w:rsid w:val="00586B3E"/>
    <w:rsid w:val="005909C6"/>
    <w:rsid w:val="005A5D7C"/>
    <w:rsid w:val="005A7F81"/>
    <w:rsid w:val="005B25E1"/>
    <w:rsid w:val="005B4A1F"/>
    <w:rsid w:val="005B56A0"/>
    <w:rsid w:val="005C21E8"/>
    <w:rsid w:val="005D0372"/>
    <w:rsid w:val="005D05BD"/>
    <w:rsid w:val="005E757C"/>
    <w:rsid w:val="005F1543"/>
    <w:rsid w:val="005F1C2E"/>
    <w:rsid w:val="00602C26"/>
    <w:rsid w:val="006113EF"/>
    <w:rsid w:val="00614813"/>
    <w:rsid w:val="00620265"/>
    <w:rsid w:val="00621703"/>
    <w:rsid w:val="0062773A"/>
    <w:rsid w:val="006320E6"/>
    <w:rsid w:val="00634B8A"/>
    <w:rsid w:val="00635658"/>
    <w:rsid w:val="00636FC6"/>
    <w:rsid w:val="00637C20"/>
    <w:rsid w:val="00647C18"/>
    <w:rsid w:val="006631F5"/>
    <w:rsid w:val="00671EB8"/>
    <w:rsid w:val="00672689"/>
    <w:rsid w:val="00675EA0"/>
    <w:rsid w:val="0068023C"/>
    <w:rsid w:val="00680D6F"/>
    <w:rsid w:val="006907E6"/>
    <w:rsid w:val="006916C1"/>
    <w:rsid w:val="0069368F"/>
    <w:rsid w:val="006B2041"/>
    <w:rsid w:val="006C0B0B"/>
    <w:rsid w:val="006C14A4"/>
    <w:rsid w:val="006C2B4B"/>
    <w:rsid w:val="006C453E"/>
    <w:rsid w:val="006C5B4A"/>
    <w:rsid w:val="006D26B6"/>
    <w:rsid w:val="006D4FE7"/>
    <w:rsid w:val="006D6429"/>
    <w:rsid w:val="006E17D9"/>
    <w:rsid w:val="006E787B"/>
    <w:rsid w:val="006F5ED2"/>
    <w:rsid w:val="0070383F"/>
    <w:rsid w:val="00703BDC"/>
    <w:rsid w:val="00703EC1"/>
    <w:rsid w:val="00704602"/>
    <w:rsid w:val="007131DD"/>
    <w:rsid w:val="00713F5A"/>
    <w:rsid w:val="007170E3"/>
    <w:rsid w:val="0071757F"/>
    <w:rsid w:val="00721780"/>
    <w:rsid w:val="00734E65"/>
    <w:rsid w:val="007434D5"/>
    <w:rsid w:val="00747EDC"/>
    <w:rsid w:val="007523EB"/>
    <w:rsid w:val="007526DE"/>
    <w:rsid w:val="007607F6"/>
    <w:rsid w:val="00783903"/>
    <w:rsid w:val="00792AF3"/>
    <w:rsid w:val="00794FCC"/>
    <w:rsid w:val="007975CB"/>
    <w:rsid w:val="007A21D7"/>
    <w:rsid w:val="007B6376"/>
    <w:rsid w:val="007C24CC"/>
    <w:rsid w:val="007C52D9"/>
    <w:rsid w:val="007D025D"/>
    <w:rsid w:val="007D50B1"/>
    <w:rsid w:val="007D573B"/>
    <w:rsid w:val="007E3935"/>
    <w:rsid w:val="007E45F2"/>
    <w:rsid w:val="007F5B2E"/>
    <w:rsid w:val="008037CD"/>
    <w:rsid w:val="00807846"/>
    <w:rsid w:val="00810F3A"/>
    <w:rsid w:val="00820E53"/>
    <w:rsid w:val="00832DED"/>
    <w:rsid w:val="00835303"/>
    <w:rsid w:val="008364FD"/>
    <w:rsid w:val="0084163D"/>
    <w:rsid w:val="00845F7C"/>
    <w:rsid w:val="00873440"/>
    <w:rsid w:val="00877AC2"/>
    <w:rsid w:val="00884F8B"/>
    <w:rsid w:val="00886866"/>
    <w:rsid w:val="008A0E84"/>
    <w:rsid w:val="008A1B8A"/>
    <w:rsid w:val="008A6C96"/>
    <w:rsid w:val="008C4140"/>
    <w:rsid w:val="008C55E5"/>
    <w:rsid w:val="008D41D8"/>
    <w:rsid w:val="008E3FED"/>
    <w:rsid w:val="008F43AC"/>
    <w:rsid w:val="00915296"/>
    <w:rsid w:val="00915B4D"/>
    <w:rsid w:val="00917FEE"/>
    <w:rsid w:val="00927EB6"/>
    <w:rsid w:val="0094126A"/>
    <w:rsid w:val="00955896"/>
    <w:rsid w:val="00962EB7"/>
    <w:rsid w:val="009654D2"/>
    <w:rsid w:val="00967AC7"/>
    <w:rsid w:val="009834F4"/>
    <w:rsid w:val="00992C6C"/>
    <w:rsid w:val="00993564"/>
    <w:rsid w:val="009A2E4F"/>
    <w:rsid w:val="009A7EAC"/>
    <w:rsid w:val="009B7903"/>
    <w:rsid w:val="009C3A99"/>
    <w:rsid w:val="009D102F"/>
    <w:rsid w:val="009D7ED7"/>
    <w:rsid w:val="00A01255"/>
    <w:rsid w:val="00A07E31"/>
    <w:rsid w:val="00A1244F"/>
    <w:rsid w:val="00A171AC"/>
    <w:rsid w:val="00A2375D"/>
    <w:rsid w:val="00A4125B"/>
    <w:rsid w:val="00A42A41"/>
    <w:rsid w:val="00A42F74"/>
    <w:rsid w:val="00A47DDA"/>
    <w:rsid w:val="00A53B54"/>
    <w:rsid w:val="00A5574C"/>
    <w:rsid w:val="00A60CB9"/>
    <w:rsid w:val="00A6408D"/>
    <w:rsid w:val="00A647CA"/>
    <w:rsid w:val="00A84E5F"/>
    <w:rsid w:val="00A93587"/>
    <w:rsid w:val="00A95315"/>
    <w:rsid w:val="00A95395"/>
    <w:rsid w:val="00A965AD"/>
    <w:rsid w:val="00AA5E29"/>
    <w:rsid w:val="00AC252B"/>
    <w:rsid w:val="00AD27FE"/>
    <w:rsid w:val="00AD501B"/>
    <w:rsid w:val="00AD78B8"/>
    <w:rsid w:val="00AE0710"/>
    <w:rsid w:val="00AE410D"/>
    <w:rsid w:val="00AE5C61"/>
    <w:rsid w:val="00B001AA"/>
    <w:rsid w:val="00B005EA"/>
    <w:rsid w:val="00B05057"/>
    <w:rsid w:val="00B07771"/>
    <w:rsid w:val="00B12AA8"/>
    <w:rsid w:val="00B304B6"/>
    <w:rsid w:val="00B3189F"/>
    <w:rsid w:val="00B4034D"/>
    <w:rsid w:val="00B42C07"/>
    <w:rsid w:val="00B50A4C"/>
    <w:rsid w:val="00B54F3E"/>
    <w:rsid w:val="00B555D0"/>
    <w:rsid w:val="00B6405A"/>
    <w:rsid w:val="00B905CB"/>
    <w:rsid w:val="00B910A4"/>
    <w:rsid w:val="00B91CE8"/>
    <w:rsid w:val="00B94D8E"/>
    <w:rsid w:val="00B954E6"/>
    <w:rsid w:val="00BB3263"/>
    <w:rsid w:val="00BC16B5"/>
    <w:rsid w:val="00BC2FB9"/>
    <w:rsid w:val="00BD2855"/>
    <w:rsid w:val="00BD4999"/>
    <w:rsid w:val="00BE4E85"/>
    <w:rsid w:val="00BF792B"/>
    <w:rsid w:val="00C364C4"/>
    <w:rsid w:val="00C40F7C"/>
    <w:rsid w:val="00C44C5E"/>
    <w:rsid w:val="00C50307"/>
    <w:rsid w:val="00C72817"/>
    <w:rsid w:val="00C729E5"/>
    <w:rsid w:val="00C8286E"/>
    <w:rsid w:val="00C832ED"/>
    <w:rsid w:val="00C86D43"/>
    <w:rsid w:val="00CA03A7"/>
    <w:rsid w:val="00CA35C5"/>
    <w:rsid w:val="00CA75F2"/>
    <w:rsid w:val="00CA7820"/>
    <w:rsid w:val="00CB08E2"/>
    <w:rsid w:val="00CB6620"/>
    <w:rsid w:val="00CD5D21"/>
    <w:rsid w:val="00CE1CA7"/>
    <w:rsid w:val="00CE55B2"/>
    <w:rsid w:val="00CF1AC9"/>
    <w:rsid w:val="00CF2E7F"/>
    <w:rsid w:val="00CF4084"/>
    <w:rsid w:val="00CF43CC"/>
    <w:rsid w:val="00CF5146"/>
    <w:rsid w:val="00D048E6"/>
    <w:rsid w:val="00D11CC5"/>
    <w:rsid w:val="00D20027"/>
    <w:rsid w:val="00D32AA4"/>
    <w:rsid w:val="00D42AD8"/>
    <w:rsid w:val="00D5358A"/>
    <w:rsid w:val="00D57620"/>
    <w:rsid w:val="00D65A81"/>
    <w:rsid w:val="00D83A78"/>
    <w:rsid w:val="00D9381A"/>
    <w:rsid w:val="00D9515A"/>
    <w:rsid w:val="00D95A56"/>
    <w:rsid w:val="00DA1926"/>
    <w:rsid w:val="00DC4EDB"/>
    <w:rsid w:val="00DD25EE"/>
    <w:rsid w:val="00DD676B"/>
    <w:rsid w:val="00DE0816"/>
    <w:rsid w:val="00DE296F"/>
    <w:rsid w:val="00DF5EE5"/>
    <w:rsid w:val="00DF64F7"/>
    <w:rsid w:val="00E01981"/>
    <w:rsid w:val="00E14026"/>
    <w:rsid w:val="00E312D2"/>
    <w:rsid w:val="00E419F8"/>
    <w:rsid w:val="00E45B6E"/>
    <w:rsid w:val="00E51966"/>
    <w:rsid w:val="00E5653C"/>
    <w:rsid w:val="00E640E0"/>
    <w:rsid w:val="00E671EE"/>
    <w:rsid w:val="00E85FE2"/>
    <w:rsid w:val="00EA354F"/>
    <w:rsid w:val="00EB335E"/>
    <w:rsid w:val="00EC4864"/>
    <w:rsid w:val="00ED43D9"/>
    <w:rsid w:val="00ED7EFA"/>
    <w:rsid w:val="00EE1282"/>
    <w:rsid w:val="00EF22E8"/>
    <w:rsid w:val="00EF5EC4"/>
    <w:rsid w:val="00F403B9"/>
    <w:rsid w:val="00F42D9C"/>
    <w:rsid w:val="00F51FA1"/>
    <w:rsid w:val="00F520C8"/>
    <w:rsid w:val="00F53DD0"/>
    <w:rsid w:val="00F5649B"/>
    <w:rsid w:val="00F64F72"/>
    <w:rsid w:val="00F6519F"/>
    <w:rsid w:val="00F8359E"/>
    <w:rsid w:val="00F84C71"/>
    <w:rsid w:val="00FA5383"/>
    <w:rsid w:val="00FB6597"/>
    <w:rsid w:val="00FF501B"/>
    <w:rsid w:val="01DB7918"/>
    <w:rsid w:val="06A81AFB"/>
    <w:rsid w:val="0BB27F3E"/>
    <w:rsid w:val="1065369B"/>
    <w:rsid w:val="128D65FD"/>
    <w:rsid w:val="129D0E16"/>
    <w:rsid w:val="130030B9"/>
    <w:rsid w:val="13CE4A0B"/>
    <w:rsid w:val="17A7505C"/>
    <w:rsid w:val="18E55588"/>
    <w:rsid w:val="18EF0876"/>
    <w:rsid w:val="1CF8625E"/>
    <w:rsid w:val="1DB35329"/>
    <w:rsid w:val="23C245B7"/>
    <w:rsid w:val="2FA923BE"/>
    <w:rsid w:val="30EA07CC"/>
    <w:rsid w:val="31917CE0"/>
    <w:rsid w:val="37FB14E5"/>
    <w:rsid w:val="39C4574B"/>
    <w:rsid w:val="3B875338"/>
    <w:rsid w:val="41D2798B"/>
    <w:rsid w:val="42CE0B28"/>
    <w:rsid w:val="49A64064"/>
    <w:rsid w:val="60B707B9"/>
    <w:rsid w:val="62B83782"/>
    <w:rsid w:val="642B7A3F"/>
    <w:rsid w:val="69E01F40"/>
    <w:rsid w:val="72F8342D"/>
    <w:rsid w:val="75703B1B"/>
    <w:rsid w:val="79BD7948"/>
    <w:rsid w:val="7B063163"/>
    <w:rsid w:val="7C461570"/>
    <w:rsid w:val="7CC06E0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30"/>
        <o:r id="V:Rule2" type="connector" idref="#Straight Connector 34"/>
        <o:r id="V:Rule3" type="connector" idref="#Straight Connector 37"/>
        <o:r id="V:Rule4" type="connector" idref="#Straight Connector 35"/>
        <o:r id="V:Rule5" type="connector" idref="#Straight Connector 32"/>
        <o:r id="V:Rule6" type="connector" idref="#Straight Connector 31"/>
        <o:r id="V:Rule7" type="connector" idref="#Straight Connector 36"/>
        <o:r id="V:Rule8" type="connector" idref="#Straight Connector 38"/>
        <o:r id="V:Rule9" type="connector" idref="#Straight Connector 39"/>
        <o:r id="V:Rule10" type="connector" idref="#Straight Connector 33"/>
      </o:rules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7"/>
    <w:unhideWhenUsed/>
    <w:uiPriority w:val="99"/>
    <w:rPr>
      <w:b/>
      <w:bCs/>
    </w:rPr>
  </w:style>
  <w:style w:type="paragraph" w:styleId="3">
    <w:name w:val="annotation text"/>
    <w:basedOn w:val="1"/>
    <w:link w:val="16"/>
    <w:unhideWhenUsed/>
    <w:uiPriority w:val="99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styleId="9">
    <w:name w:val="annotation reference"/>
    <w:basedOn w:val="7"/>
    <w:unhideWhenUsed/>
    <w:uiPriority w:val="99"/>
    <w:rPr>
      <w:sz w:val="21"/>
      <w:szCs w:val="21"/>
    </w:rPr>
  </w:style>
  <w:style w:type="table" w:styleId="11">
    <w:name w:val="Table Grid"/>
    <w:basedOn w:val="10"/>
    <w:uiPriority w:val="59"/>
    <w:pPr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Revision"/>
    <w:hidden/>
    <w:unhideWhenUsed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7"/>
    <w:link w:val="6"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uiPriority w:val="99"/>
    <w:rPr>
      <w:sz w:val="18"/>
      <w:szCs w:val="18"/>
    </w:rPr>
  </w:style>
  <w:style w:type="character" w:customStyle="1" w:styleId="15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6">
    <w:name w:val="批注文字 Char"/>
    <w:basedOn w:val="7"/>
    <w:link w:val="3"/>
    <w:semiHidden/>
    <w:uiPriority w:val="99"/>
    <w:rPr>
      <w:rFonts w:ascii="Calibri" w:hAnsi="Calibri" w:cs="黑体"/>
      <w:kern w:val="2"/>
      <w:sz w:val="21"/>
      <w:szCs w:val="22"/>
    </w:rPr>
  </w:style>
  <w:style w:type="character" w:customStyle="1" w:styleId="17">
    <w:name w:val="批注主题 Char"/>
    <w:basedOn w:val="16"/>
    <w:link w:val="2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737</Words>
  <Characters>4207</Characters>
  <Lines>35</Lines>
  <Paragraphs>9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2020-04-22T08:12:00Z</dcterms:created>
  <dc:creator>吴</dc:creator>
  <cp:lastModifiedBy>陈炅炜</cp:lastModifiedBy>
  <cp:lastPrinted>2020-05-07T10:41:00Z</cp:lastPrinted>
  <dcterms:modified xsi:type="dcterms:W3CDTF">2021-04-01T08:28:15Z</dcterms:modified>
  <dc:title>编号：57002-2              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