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40" w:rsidRDefault="00A36B40" w:rsidP="00A36B40">
      <w:pPr>
        <w:jc w:val="center"/>
        <w:rPr>
          <w:rFonts w:ascii="方正小标宋_GBK" w:eastAsia="方正小标宋_GBK" w:hAnsi="方正小标宋_GBK" w:cs="方正小标宋_GBK"/>
          <w:sz w:val="40"/>
          <w:szCs w:val="40"/>
        </w:rPr>
      </w:pPr>
      <w:bookmarkStart w:id="0" w:name="_Toc414347303_WPSOffice_Level1"/>
      <w:r>
        <w:rPr>
          <w:rFonts w:ascii="方正小标宋_GBK" w:eastAsia="方正小标宋_GBK" w:hAnsi="方正小标宋_GBK" w:cs="方正小标宋_GBK"/>
          <w:sz w:val="40"/>
          <w:szCs w:val="40"/>
        </w:rPr>
        <w:t>总局办理的非银行金融机构（不含保险机构）经营结售汇业务以外的外汇业务审批</w:t>
      </w:r>
      <w:bookmarkEnd w:id="0"/>
    </w:p>
    <w:p w:rsidR="00A36B40" w:rsidRDefault="00A36B40" w:rsidP="00A36B40">
      <w:pPr>
        <w:spacing w:line="540" w:lineRule="exact"/>
        <w:outlineLvl w:val="1"/>
        <w:rPr>
          <w:rFonts w:ascii="Times New Roman" w:eastAsia="黑体" w:hAnsi="Times New Roman"/>
          <w:sz w:val="28"/>
          <w:szCs w:val="28"/>
        </w:rPr>
      </w:pPr>
      <w:bookmarkStart w:id="1" w:name="_Toc484064547_WPSOffice_Level1"/>
      <w:r>
        <w:rPr>
          <w:rFonts w:ascii="Times New Roman" w:eastAsia="黑体" w:hAnsi="Times New Roman"/>
          <w:sz w:val="28"/>
          <w:szCs w:val="28"/>
        </w:rPr>
        <w:t>一、</w:t>
      </w:r>
      <w:r>
        <w:rPr>
          <w:rFonts w:ascii="Times New Roman" w:eastAsia="黑体" w:hAnsi="Times New Roman" w:hint="eastAsia"/>
          <w:sz w:val="28"/>
          <w:szCs w:val="28"/>
        </w:rPr>
        <w:t>基本要素</w:t>
      </w:r>
      <w:bookmarkEnd w:id="1"/>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A36B40" w:rsidRDefault="00A36B40" w:rsidP="00A36B40">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总局办理的非银行金融机构（不含保险机构）经营结售汇业务以外的外汇业务审批</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 xml:space="preserve">. </w:t>
      </w:r>
      <w:r>
        <w:rPr>
          <w:rFonts w:ascii="Times New Roman" w:eastAsia="仿宋GB2312" w:hAnsi="Times New Roman" w:hint="eastAsia"/>
          <w:b/>
          <w:bCs/>
          <w:sz w:val="28"/>
          <w:szCs w:val="28"/>
        </w:rPr>
        <w:t>对应政务服务实施清单事项名称</w:t>
      </w:r>
    </w:p>
    <w:p w:rsidR="00A36B40" w:rsidRDefault="00A36B40" w:rsidP="00A36B40">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A36B40" w:rsidRDefault="00A36B40" w:rsidP="00A36B40">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设定依据</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《中华人民共和国外汇管理条例》第二十四条</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实施依据</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监管依据</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b/>
          <w:bCs/>
          <w:sz w:val="28"/>
          <w:szCs w:val="28"/>
        </w:rPr>
        <w:t>实施机关：</w:t>
      </w:r>
      <w:r>
        <w:rPr>
          <w:rFonts w:ascii="Times New Roman" w:eastAsia="仿宋GB2312" w:hAnsi="Times New Roman"/>
          <w:sz w:val="28"/>
          <w:szCs w:val="28"/>
        </w:rPr>
        <w:t>国家外汇管理局</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0</w:t>
      </w:r>
      <w:r>
        <w:rPr>
          <w:rFonts w:ascii="Times New Roman" w:eastAsia="仿宋GB2312" w:hAnsi="Times New Roman" w:hint="eastAsia"/>
          <w:b/>
          <w:bCs/>
          <w:sz w:val="28"/>
          <w:szCs w:val="28"/>
        </w:rPr>
        <w:t>.</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1</w:t>
      </w:r>
      <w:r>
        <w:rPr>
          <w:rFonts w:ascii="Times New Roman" w:eastAsia="仿宋GB2312" w:hAnsi="Times New Roman" w:hint="eastAsia"/>
          <w:b/>
          <w:bCs/>
          <w:sz w:val="28"/>
          <w:szCs w:val="28"/>
        </w:rPr>
        <w:t>.</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2" w:name="_Toc1210195229_WPSOffice_Level1"/>
      <w:r>
        <w:rPr>
          <w:rFonts w:ascii="Times New Roman" w:eastAsia="黑体" w:hAnsi="Times New Roman"/>
          <w:sz w:val="28"/>
          <w:szCs w:val="28"/>
        </w:rPr>
        <w:t>二、</w:t>
      </w:r>
      <w:r>
        <w:rPr>
          <w:rFonts w:ascii="Times New Roman" w:eastAsia="黑体" w:hAnsi="Times New Roman" w:hint="eastAsia"/>
          <w:sz w:val="28"/>
          <w:szCs w:val="28"/>
        </w:rPr>
        <w:t>行政许可事项类型</w:t>
      </w:r>
      <w:bookmarkEnd w:id="2"/>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36B40" w:rsidRDefault="00A36B40" w:rsidP="00A36B40">
      <w:pPr>
        <w:spacing w:line="540" w:lineRule="exact"/>
        <w:outlineLvl w:val="1"/>
        <w:rPr>
          <w:rFonts w:ascii="Times New Roman" w:eastAsia="黑体" w:hAnsi="Times New Roman"/>
          <w:sz w:val="28"/>
          <w:szCs w:val="28"/>
        </w:rPr>
      </w:pPr>
      <w:bookmarkStart w:id="3" w:name="_Toc554397002_WPSOffice_Level1"/>
      <w:r>
        <w:rPr>
          <w:rFonts w:ascii="Times New Roman" w:eastAsia="黑体" w:hAnsi="Times New Roman"/>
          <w:sz w:val="28"/>
          <w:szCs w:val="28"/>
        </w:rPr>
        <w:t>三、</w:t>
      </w:r>
      <w:r>
        <w:rPr>
          <w:rFonts w:ascii="Times New Roman" w:eastAsia="黑体" w:hAnsi="Times New Roman" w:hint="eastAsia"/>
          <w:sz w:val="28"/>
          <w:szCs w:val="28"/>
        </w:rPr>
        <w:t>行政许可条件</w:t>
      </w:r>
      <w:bookmarkEnd w:id="3"/>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1.总局办理的非银行金融机构（不含保险机构）经营结售汇业务以外的理财子公司开展境内外币理财业务备案</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（1）具备真实的业务需求。</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（2）获得监管机构或其授权的行业管理组织同意或许可。</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2.总局办理的非银行金融机构（不含保险机构）经营结售汇业务以外的其他非银行金融机构外汇业务备案</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（1）具备真实的业务需求。</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（2）非银行金融机构的分支机构办理外汇业务，应取得总公司就相关外汇业务的书面授权。</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（3）监管机构或其授权的行业管理组织许可或同意其开展相关业务。</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（4）经银保监会批准具有存贷款业务资格的非银行金融机构办理境内外汇存款、外汇贷款，外汇同业拆解业务无需办理本许可。</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《资本项目外汇业务指引（2020年版）》（汇综发〔2020〕89号文印发）第二部分第三条非银行金融机构（保险机构除外）外汇业务备案管理4.2非银行金融机构（保险机构除外）外汇业务备案管理 </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审核原则2.非银行金融机构的分支机构办理外汇业务，应取得其总公司就相关外汇业务的书面授权，并及时将授权情况以书面形式向所在地外汇局报备。……</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Times New Roman" w:eastAsia="仿宋GB2312" w:hAnsi="Times New Roman"/>
          <w:b/>
          <w:bCs/>
          <w:sz w:val="28"/>
          <w:szCs w:val="28"/>
        </w:rPr>
        <w:t>：</w:t>
      </w:r>
      <w:r>
        <w:rPr>
          <w:rFonts w:ascii="方正仿宋_GBK" w:eastAsia="方正仿宋_GBK" w:hAnsi="方正仿宋_GBK" w:cs="方正仿宋_GBK"/>
          <w:sz w:val="28"/>
          <w:szCs w:val="28"/>
        </w:rPr>
        <w:t>申请材料齐全，符合法定形式</w:t>
      </w:r>
    </w:p>
    <w:p w:rsidR="00A36B40" w:rsidRDefault="00A36B40" w:rsidP="00A36B40">
      <w:pPr>
        <w:spacing w:line="540" w:lineRule="exact"/>
        <w:outlineLvl w:val="1"/>
        <w:rPr>
          <w:rFonts w:ascii="Times New Roman" w:eastAsia="黑体" w:hAnsi="Times New Roman"/>
          <w:sz w:val="28"/>
          <w:szCs w:val="28"/>
        </w:rPr>
      </w:pPr>
      <w:bookmarkStart w:id="4" w:name="_Toc1655857056_WPSOffice_Level1"/>
      <w:r>
        <w:rPr>
          <w:rFonts w:ascii="Times New Roman" w:eastAsia="黑体" w:hAnsi="Times New Roman"/>
          <w:sz w:val="28"/>
          <w:szCs w:val="28"/>
        </w:rPr>
        <w:t>四、行政许可服务对象类型</w:t>
      </w:r>
      <w:r>
        <w:rPr>
          <w:rFonts w:ascii="Times New Roman" w:eastAsia="黑体" w:hAnsi="Times New Roman" w:hint="eastAsia"/>
          <w:sz w:val="28"/>
          <w:szCs w:val="28"/>
        </w:rPr>
        <w:t>与改革举措</w:t>
      </w:r>
      <w:bookmarkEnd w:id="4"/>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A36B40" w:rsidRDefault="00A36B40" w:rsidP="00A36B40">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b/>
          <w:bCs/>
          <w:sz w:val="28"/>
          <w:szCs w:val="28"/>
        </w:rPr>
        <w:t>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4</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36B40" w:rsidRDefault="00A36B40" w:rsidP="00A36B4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具体改革举措</w:t>
      </w:r>
    </w:p>
    <w:p w:rsidR="00A36B40" w:rsidRDefault="00A36B40" w:rsidP="00A36B40">
      <w:pPr>
        <w:spacing w:line="54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实现预审、审批进度和结果网上查询</w:t>
      </w:r>
    </w:p>
    <w:p w:rsidR="00A36B40" w:rsidRDefault="00A36B40" w:rsidP="00A36B40">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加强事中事后监管措施</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w:t>
      </w:r>
      <w:r>
        <w:rPr>
          <w:rFonts w:ascii="方正仿宋_GBK" w:eastAsia="方正仿宋_GBK" w:hAnsi="方正仿宋_GBK" w:cs="方正仿宋_GBK"/>
          <w:sz w:val="28"/>
          <w:szCs w:val="28"/>
        </w:rPr>
        <w:lastRenderedPageBreak/>
        <w:t>关案例。2.依法及时处理投诉举报。3.开展数据统计与监测，掌握外汇业务情况。</w:t>
      </w:r>
    </w:p>
    <w:p w:rsidR="00A36B40" w:rsidRDefault="00A36B40" w:rsidP="00A36B40">
      <w:pPr>
        <w:spacing w:line="540" w:lineRule="exact"/>
        <w:outlineLvl w:val="1"/>
        <w:rPr>
          <w:rFonts w:ascii="Times New Roman" w:eastAsia="黑体" w:hAnsi="Times New Roman"/>
          <w:sz w:val="28"/>
          <w:szCs w:val="28"/>
        </w:rPr>
      </w:pPr>
      <w:bookmarkStart w:id="5" w:name="_Toc2069487918_WPSOffice_Level1"/>
      <w:r>
        <w:rPr>
          <w:rFonts w:ascii="Times New Roman" w:eastAsia="黑体" w:hAnsi="Times New Roman"/>
          <w:sz w:val="28"/>
          <w:szCs w:val="28"/>
        </w:rPr>
        <w:t>五、</w:t>
      </w:r>
      <w:r>
        <w:rPr>
          <w:rFonts w:ascii="Times New Roman" w:eastAsia="黑体" w:hAnsi="Times New Roman" w:hint="eastAsia"/>
          <w:sz w:val="28"/>
          <w:szCs w:val="28"/>
        </w:rPr>
        <w:t>申请材料</w:t>
      </w:r>
      <w:bookmarkEnd w:id="5"/>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营业执照（统一社会信用代码证）原件或加盖公章的复印件1份（总局办理的非银行金融机构（不含保险机构）经营结售汇业务以外的理财子公司开展境内外币理财业务备案）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其中：承接母行境内存量外币理财业务/产品备案的书面申请包括承接外币理财业务/产品类型、规则和运营流程、与母行的交接方案、产品交接公告等；新发行境内外币理财产品备案的书面申请包括但不限于业务类型、业务规则和流程、汇兑安排、内部管理制度、人员要求及准备情况等）（总局办理的非银行金融机构（不含保险机构）经营结售汇业务以外的理财子公司开展境内外币理财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《境内非银行金融机构外汇业务备案表》（总局办理的非银行金融机构（不含保险机构）经营结售汇业务以外的理财子公司开展境内外币理财业务备案）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银保监会对理财子公司开展外汇业务的核准文件。（总局办理的非银行金融机构（不含保险机构）经营结售汇业务以外的理财子公司开展境内外币理财业务备案）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理财产品登记通知书（同一产品系列提供一份登记通知书即可）（总局办理的非银行金融机构（不含保险机构）经营结售汇业务以外的理财子公司开展境内外币理财业务备案）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营业执照（统一社会信用代码证）原件或加盖公章的复印件1份。（总局办理的非银行金融机构（不含保险机构）经营结售汇业务以外</w:t>
      </w:r>
      <w:r>
        <w:rPr>
          <w:rFonts w:ascii="方正仿宋_GBK" w:eastAsia="方正仿宋_GBK" w:hAnsi="方正仿宋_GBK" w:cs="方正仿宋_GBK" w:hint="eastAsia"/>
          <w:sz w:val="28"/>
          <w:szCs w:val="28"/>
        </w:rPr>
        <w:lastRenderedPageBreak/>
        <w:t>的其他非银行金融机构外汇业务备案）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包括但不限于业务类型、业务规则和流程、汇兑安排、内部管理制度、人员要求及准备情况等），并附《境内非银行金融机构外汇业务备案表》。（总局办理的非银行金融机构（不含保险机构）经营结售汇业务以外的其他非银行金融机构外汇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监管机构或其授权的行业管理组织许可或同意其开展相关业务的文件、无异议材料或出具的相关资质证明。（总局办理的非银行金融机构（不含保险机构）经营结售汇业务以外的其他非银行金融机构外汇业务备案）</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（1）《资本项目外汇业务指引（2020年版）》（汇综发〔2020〕89号文印发）第二部分第三条非银行金融机构（保险机构除外）外汇业务备案管理 </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审核材料 </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bookmarkStart w:id="6" w:name="_Toc1556975453_WPSOffice_Level1"/>
      <w:bookmarkStart w:id="7" w:name="_Toc1840062199_WPSOffice_Level1"/>
      <w:r>
        <w:rPr>
          <w:rFonts w:ascii="方正仿宋_GBK" w:eastAsia="方正仿宋_GBK" w:hAnsi="方正仿宋_GBK" w:cs="方正仿宋_GBK" w:hint="eastAsia"/>
          <w:sz w:val="28"/>
          <w:szCs w:val="28"/>
        </w:rPr>
        <w:t>一、理财子公司开展境内外币理财业务备案</w:t>
      </w:r>
      <w:bookmarkEnd w:id="6"/>
      <w:bookmarkEnd w:id="7"/>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（一）承接母行境内存量外币理财业务/产品的备案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（二）新发行境内外币理财产品的备案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w:t>
      </w:r>
      <w:r>
        <w:rPr>
          <w:rFonts w:ascii="方正仿宋_GBK" w:eastAsia="方正仿宋_GBK" w:hAnsi="方正仿宋_GBK" w:cs="方正仿宋_GBK" w:hint="eastAsia"/>
          <w:sz w:val="28"/>
          <w:szCs w:val="28"/>
        </w:rPr>
        <w:lastRenderedPageBreak/>
        <w:t>机构外汇业务备案表》。</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2.银保监会对理财子公司开展外汇业务的核准文件。</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总局办理的非银行金融机构（不含保险机构）经营结售汇业务以外的其他非银行金融机构外汇业务备案</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bookmarkStart w:id="8" w:name="_Toc1305863767_WPSOffice_Level1"/>
      <w:bookmarkStart w:id="9" w:name="_Toc5084828_WPSOffice_Level1"/>
      <w:r>
        <w:rPr>
          <w:rFonts w:ascii="方正仿宋_GBK" w:eastAsia="方正仿宋_GBK" w:hAnsi="方正仿宋_GBK" w:cs="方正仿宋_GBK" w:hint="eastAsia"/>
          <w:sz w:val="28"/>
          <w:szCs w:val="28"/>
        </w:rPr>
        <w:t>二、其他非银行金融机构外汇业务备案</w:t>
      </w:r>
      <w:bookmarkEnd w:id="8"/>
      <w:bookmarkEnd w:id="9"/>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1.书面申请（包括但不限于业务类型、业务规则和流程、汇兑安排、内部管理制度、人员要求及准备情况等），并附《境内非银行金融机构外汇业务备案表》</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2.监管机构或其授权的行业管理组织许可或同意其开展相关业务的文件、无异议材料或出具的相关资质证明</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A36B40" w:rsidRDefault="00A36B40" w:rsidP="00A36B40">
      <w:pPr>
        <w:spacing w:line="540" w:lineRule="exact"/>
        <w:outlineLvl w:val="1"/>
        <w:rPr>
          <w:rFonts w:ascii="Times New Roman" w:eastAsia="黑体" w:hAnsi="Times New Roman"/>
          <w:sz w:val="28"/>
          <w:szCs w:val="28"/>
        </w:rPr>
      </w:pPr>
      <w:bookmarkStart w:id="10" w:name="_Toc1308167024_WPSOffice_Level1"/>
      <w:r>
        <w:rPr>
          <w:rFonts w:ascii="Times New Roman" w:eastAsia="黑体" w:hAnsi="Times New Roman"/>
          <w:sz w:val="28"/>
          <w:szCs w:val="28"/>
        </w:rPr>
        <w:t>六、</w:t>
      </w:r>
      <w:r>
        <w:rPr>
          <w:rFonts w:ascii="Times New Roman" w:eastAsia="黑体" w:hAnsi="Times New Roman" w:hint="eastAsia"/>
          <w:sz w:val="28"/>
          <w:szCs w:val="28"/>
        </w:rPr>
        <w:t>中介服务</w:t>
      </w:r>
      <w:bookmarkEnd w:id="10"/>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1" w:name="_Toc1962337111_WPSOffice_Level1"/>
      <w:r>
        <w:rPr>
          <w:rFonts w:ascii="Times New Roman" w:eastAsia="黑体" w:hAnsi="Times New Roman"/>
          <w:sz w:val="28"/>
          <w:szCs w:val="28"/>
        </w:rPr>
        <w:t>七、</w:t>
      </w:r>
      <w:r>
        <w:rPr>
          <w:rFonts w:ascii="Times New Roman" w:eastAsia="黑体" w:hAnsi="Times New Roman" w:hint="eastAsia"/>
          <w:sz w:val="28"/>
          <w:szCs w:val="28"/>
        </w:rPr>
        <w:t>审批程序</w:t>
      </w:r>
      <w:bookmarkEnd w:id="11"/>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（3）审批机构审查；</w:t>
      </w:r>
    </w:p>
    <w:p w:rsidR="00A36B40" w:rsidRDefault="00A36B40" w:rsidP="00A36B4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A36B40" w:rsidRDefault="00A36B40" w:rsidP="00A36B40">
      <w:pPr>
        <w:spacing w:line="600" w:lineRule="exact"/>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《国家外汇管理局行政许可实施办法》（国家外汇管理局公告2021年第1号）第十四条外汇局对行政许可申请审查后，应区分下列情况分别作出处理：</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36B40" w:rsidRDefault="00A36B40" w:rsidP="00A36B40">
      <w:pPr>
        <w:spacing w:line="540" w:lineRule="exact"/>
        <w:outlineLvl w:val="1"/>
        <w:rPr>
          <w:rFonts w:ascii="Times New Roman" w:eastAsia="黑体" w:hAnsi="Times New Roman"/>
          <w:sz w:val="28"/>
          <w:szCs w:val="28"/>
        </w:rPr>
      </w:pPr>
      <w:bookmarkStart w:id="12" w:name="_Toc969963469_WPSOffice_Level1"/>
      <w:r>
        <w:rPr>
          <w:rFonts w:ascii="Times New Roman" w:eastAsia="黑体" w:hAnsi="Times New Roman"/>
          <w:sz w:val="28"/>
          <w:szCs w:val="28"/>
        </w:rPr>
        <w:t>八、</w:t>
      </w:r>
      <w:r>
        <w:rPr>
          <w:rFonts w:ascii="Times New Roman" w:eastAsia="黑体" w:hAnsi="Times New Roman" w:hint="eastAsia"/>
          <w:sz w:val="28"/>
          <w:szCs w:val="28"/>
        </w:rPr>
        <w:t>受理和审批时限</w:t>
      </w:r>
      <w:bookmarkEnd w:id="12"/>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A36B40" w:rsidRDefault="00A36B40" w:rsidP="00A36B4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w:t>
      </w:r>
      <w:r>
        <w:rPr>
          <w:rFonts w:ascii="方正仿宋_GBK" w:eastAsia="方正仿宋_GBK" w:hAnsi="方正仿宋_GBK" w:cs="方正仿宋_GBK"/>
          <w:sz w:val="28"/>
          <w:szCs w:val="28"/>
        </w:rPr>
        <w:lastRenderedPageBreak/>
        <w:t>2021年第1号）第十五条外汇局应根据以下要求确保行政许可依法按时完成：</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36B40" w:rsidRDefault="00A36B40" w:rsidP="00A36B4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A36B40" w:rsidRDefault="00A36B40" w:rsidP="00A36B40">
      <w:pPr>
        <w:spacing w:line="540" w:lineRule="exact"/>
        <w:outlineLvl w:val="1"/>
        <w:rPr>
          <w:rFonts w:ascii="Times New Roman" w:eastAsia="黑体" w:hAnsi="Times New Roman"/>
          <w:sz w:val="28"/>
          <w:szCs w:val="28"/>
        </w:rPr>
      </w:pPr>
      <w:bookmarkStart w:id="13" w:name="_Toc2041116439_WPSOffice_Level1"/>
      <w:r>
        <w:rPr>
          <w:rFonts w:ascii="Times New Roman" w:eastAsia="黑体" w:hAnsi="Times New Roman"/>
          <w:sz w:val="28"/>
          <w:szCs w:val="28"/>
        </w:rPr>
        <w:t>九、</w:t>
      </w:r>
      <w:r>
        <w:rPr>
          <w:rFonts w:ascii="Times New Roman" w:eastAsia="黑体" w:hAnsi="Times New Roman" w:hint="eastAsia"/>
          <w:sz w:val="28"/>
          <w:szCs w:val="28"/>
        </w:rPr>
        <w:t>收费</w:t>
      </w:r>
      <w:bookmarkEnd w:id="13"/>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4" w:name="_Toc481390141_WPSOffice_Level1"/>
      <w:r>
        <w:rPr>
          <w:rFonts w:ascii="Times New Roman" w:eastAsia="黑体" w:hAnsi="Times New Roman"/>
          <w:sz w:val="28"/>
          <w:szCs w:val="28"/>
        </w:rPr>
        <w:t>十、</w:t>
      </w:r>
      <w:r>
        <w:rPr>
          <w:rFonts w:ascii="Times New Roman" w:eastAsia="黑体" w:hAnsi="Times New Roman" w:hint="eastAsia"/>
          <w:sz w:val="28"/>
          <w:szCs w:val="28"/>
        </w:rPr>
        <w:t>行政许可证件</w:t>
      </w:r>
      <w:bookmarkEnd w:id="14"/>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行政许可决定书</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b/>
          <w:bCs/>
          <w:sz w:val="28"/>
          <w:szCs w:val="28"/>
        </w:rPr>
        <w:t>：</w:t>
      </w:r>
      <w:r>
        <w:rPr>
          <w:rFonts w:ascii="方正仿宋_GBK" w:eastAsia="方正仿宋_GBK" w:hAnsi="方正仿宋_GBK" w:cs="方正仿宋_GBK"/>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36B40" w:rsidRDefault="00A36B40" w:rsidP="00A36B40">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全国</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5" w:name="_Toc277215320_WPSOffice_Level1"/>
      <w:r>
        <w:rPr>
          <w:rFonts w:ascii="Times New Roman" w:eastAsia="黑体" w:hAnsi="Times New Roman"/>
          <w:sz w:val="28"/>
          <w:szCs w:val="28"/>
        </w:rPr>
        <w:t>十一、</w:t>
      </w:r>
      <w:r>
        <w:rPr>
          <w:rFonts w:ascii="Times New Roman" w:eastAsia="黑体" w:hAnsi="Times New Roman" w:hint="eastAsia"/>
          <w:sz w:val="28"/>
          <w:szCs w:val="28"/>
        </w:rPr>
        <w:t>行政许可数量限制</w:t>
      </w:r>
      <w:bookmarkEnd w:id="15"/>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6" w:name="_Toc2110131152_WPSOffice_Level1"/>
      <w:r>
        <w:rPr>
          <w:rFonts w:ascii="Times New Roman" w:eastAsia="黑体" w:hAnsi="Times New Roman"/>
          <w:sz w:val="28"/>
          <w:szCs w:val="28"/>
        </w:rPr>
        <w:t>十二、</w:t>
      </w:r>
      <w:r>
        <w:rPr>
          <w:rFonts w:ascii="Times New Roman" w:eastAsia="黑体" w:hAnsi="Times New Roman" w:hint="eastAsia"/>
          <w:sz w:val="28"/>
          <w:szCs w:val="28"/>
        </w:rPr>
        <w:t>行政许可后年检</w:t>
      </w:r>
      <w:bookmarkEnd w:id="16"/>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7" w:name="_Toc1110462824_WPSOffice_Level1"/>
      <w:r>
        <w:rPr>
          <w:rFonts w:ascii="Times New Roman" w:eastAsia="黑体" w:hAnsi="Times New Roman"/>
          <w:sz w:val="28"/>
          <w:szCs w:val="28"/>
        </w:rPr>
        <w:lastRenderedPageBreak/>
        <w:t>十三、</w:t>
      </w:r>
      <w:r>
        <w:rPr>
          <w:rFonts w:ascii="Times New Roman" w:eastAsia="黑体" w:hAnsi="Times New Roman" w:hint="eastAsia"/>
          <w:sz w:val="28"/>
          <w:szCs w:val="28"/>
        </w:rPr>
        <w:t>行政许可后年报</w:t>
      </w:r>
      <w:bookmarkEnd w:id="17"/>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6B40" w:rsidRDefault="00A36B40" w:rsidP="00A36B40">
      <w:pPr>
        <w:spacing w:line="540" w:lineRule="exact"/>
        <w:outlineLvl w:val="1"/>
        <w:rPr>
          <w:rFonts w:ascii="Times New Roman" w:eastAsia="黑体" w:hAnsi="Times New Roman"/>
          <w:sz w:val="28"/>
          <w:szCs w:val="28"/>
        </w:rPr>
      </w:pPr>
      <w:bookmarkStart w:id="18" w:name="_Toc1915513463_WPSOffice_Level1"/>
      <w:r>
        <w:rPr>
          <w:rFonts w:ascii="Times New Roman" w:eastAsia="黑体" w:hAnsi="Times New Roman"/>
          <w:sz w:val="28"/>
          <w:szCs w:val="28"/>
        </w:rPr>
        <w:t>十四、</w:t>
      </w:r>
      <w:r>
        <w:rPr>
          <w:rFonts w:ascii="Times New Roman" w:eastAsia="黑体" w:hAnsi="Times New Roman" w:hint="eastAsia"/>
          <w:sz w:val="28"/>
          <w:szCs w:val="28"/>
        </w:rPr>
        <w:t>监管主体</w:t>
      </w:r>
      <w:bookmarkEnd w:id="18"/>
    </w:p>
    <w:p w:rsidR="00A36B40" w:rsidRDefault="00A36B40" w:rsidP="00A36B40">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A36B40" w:rsidRDefault="00A36B40" w:rsidP="00A36B40">
      <w:pPr>
        <w:spacing w:line="540" w:lineRule="exact"/>
        <w:outlineLvl w:val="1"/>
        <w:rPr>
          <w:rFonts w:ascii="Times New Roman" w:eastAsia="黑体" w:hAnsi="Times New Roman"/>
          <w:sz w:val="28"/>
          <w:szCs w:val="28"/>
        </w:rPr>
      </w:pPr>
      <w:bookmarkStart w:id="19" w:name="_Toc1188193987_WPSOffice_Level1"/>
      <w:r>
        <w:rPr>
          <w:rFonts w:ascii="Times New Roman" w:eastAsia="黑体" w:hAnsi="Times New Roman" w:hint="eastAsia"/>
          <w:sz w:val="28"/>
          <w:szCs w:val="28"/>
        </w:rPr>
        <w:t>十五、业务办理信息</w:t>
      </w:r>
      <w:bookmarkEnd w:id="19"/>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A36B40" w:rsidRDefault="00A36B40" w:rsidP="00A36B40">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5</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6</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7</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8</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9</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10</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A36B40" w:rsidRDefault="00A36B40" w:rsidP="00A36B4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b/>
          <w:bCs/>
          <w:sz w:val="28"/>
          <w:szCs w:val="28"/>
        </w:rPr>
        <w:t>11</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12</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13</w:t>
      </w:r>
      <w:r>
        <w:rPr>
          <w:rFonts w:ascii="Times New Roman" w:eastAsia="仿宋GB2312" w:hAnsi="Times New Roman" w:hint="eastAsia"/>
          <w:b/>
          <w:bCs/>
          <w:sz w:val="28"/>
          <w:szCs w:val="28"/>
        </w:rPr>
        <w:t>.</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A36B40" w:rsidRDefault="00A36B40" w:rsidP="00A36B4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b/>
          <w:bCs/>
          <w:sz w:val="28"/>
          <w:szCs w:val="28"/>
        </w:rPr>
        <w:t>1</w:t>
      </w: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A36B40" w:rsidRDefault="00A611B3"/>
    <w:sectPr w:rsidR="00A611B3" w:rsidRPr="00A36B40"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6B40"/>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35EC7"/>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36B40"/>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40"/>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2023-10-07T06:41:00Z</dcterms:created>
  <dcterms:modified xsi:type="dcterms:W3CDTF">2023-10-07T06:42:00Z</dcterms:modified>
</cp:coreProperties>
</file>