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77" w:rsidRDefault="004D4D77" w:rsidP="004D4D77">
      <w:pPr>
        <w:jc w:val="center"/>
        <w:rPr>
          <w:rFonts w:ascii="方正小标宋_GBK" w:eastAsia="方正小标宋_GBK" w:hAnsi="方正小标宋_GBK" w:cs="方正小标宋_GBK"/>
          <w:sz w:val="40"/>
          <w:szCs w:val="40"/>
        </w:rPr>
      </w:pPr>
      <w:bookmarkStart w:id="0" w:name="_Toc2044510398_WPSOffice_Level1"/>
      <w:r>
        <w:rPr>
          <w:rFonts w:ascii="方正小标宋_GBK" w:eastAsia="方正小标宋_GBK" w:hAnsi="方正小标宋_GBK" w:cs="方正小标宋_GBK"/>
          <w:sz w:val="40"/>
          <w:szCs w:val="40"/>
        </w:rPr>
        <w:t>生成或兑回境外存托凭证登记</w:t>
      </w:r>
      <w:bookmarkEnd w:id="0"/>
    </w:p>
    <w:p w:rsidR="004D4D77" w:rsidRDefault="004D4D77" w:rsidP="004D4D77">
      <w:pPr>
        <w:spacing w:line="540" w:lineRule="exact"/>
        <w:outlineLvl w:val="1"/>
        <w:rPr>
          <w:rFonts w:ascii="Times New Roman" w:eastAsia="黑体" w:hAnsi="Times New Roman"/>
          <w:sz w:val="28"/>
          <w:szCs w:val="28"/>
        </w:rPr>
      </w:pPr>
      <w:bookmarkStart w:id="1" w:name="_Toc341170507_WPSOffice_Level1"/>
      <w:r>
        <w:rPr>
          <w:rFonts w:ascii="Times New Roman" w:eastAsia="黑体" w:hAnsi="Times New Roman" w:hint="eastAsia"/>
          <w:sz w:val="28"/>
          <w:szCs w:val="28"/>
        </w:rPr>
        <w:t>一、基本要素</w:t>
      </w:r>
      <w:bookmarkEnd w:id="1"/>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4D4D77" w:rsidRDefault="004D4D77" w:rsidP="004D4D77">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生成或兑回境外存托凭证登记</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4D4D77" w:rsidRDefault="004D4D77" w:rsidP="004D4D7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中华人民共和国外汇管理条例》第十六条</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国家外汇管理局公告﹝2019﹞第8号）第十一条</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实施机关：国家外汇管理局</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2" w:name="_Toc89323722_WPSOffice_Level1"/>
      <w:r>
        <w:rPr>
          <w:rFonts w:ascii="Times New Roman" w:eastAsia="黑体" w:hAnsi="Times New Roman" w:hint="eastAsia"/>
          <w:sz w:val="28"/>
          <w:szCs w:val="28"/>
        </w:rPr>
        <w:t>二、行政许可事项类型</w:t>
      </w:r>
      <w:bookmarkEnd w:id="2"/>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D4D77" w:rsidRDefault="004D4D77" w:rsidP="004D4D77">
      <w:pPr>
        <w:spacing w:line="540" w:lineRule="exact"/>
        <w:outlineLvl w:val="1"/>
        <w:rPr>
          <w:rFonts w:ascii="Times New Roman" w:eastAsia="黑体" w:hAnsi="Times New Roman"/>
          <w:sz w:val="28"/>
          <w:szCs w:val="28"/>
        </w:rPr>
      </w:pPr>
      <w:bookmarkStart w:id="3" w:name="_Toc1980340333_WPSOffice_Level1"/>
      <w:r>
        <w:rPr>
          <w:rFonts w:ascii="Times New Roman" w:eastAsia="黑体" w:hAnsi="Times New Roman" w:hint="eastAsia"/>
          <w:sz w:val="28"/>
          <w:szCs w:val="28"/>
        </w:rPr>
        <w:t>三、行政许可条件</w:t>
      </w:r>
      <w:bookmarkEnd w:id="3"/>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转换机构以非新增证券为基础生成或兑回存托凭证需进行跨境证券交易（含基础证券买卖及符合规定的以对冲风险为目的的投资品种）。其中：生成或兑回境外存托凭证的，应由境外转换机构通过其境内托管人办理。</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《存托凭证跨境资金管理办法（试行）》（中国人民银行 国家外汇管理局公告﹝2019﹞第8号）第十一条、第十二条跨境转换机构以非新增证券为基础生成或兑回存托凭证需进行跨境证券交易（含基础证券买卖及符合规定的以对冲风险为目的的投资品种）的，应按规定向国家外汇管理局进行跨境证券交易登记。</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符合规定的境外转换机构以非新增证券为基础生成或兑回境外存托凭证的，应委托境内一家具有相关业务资格的商业银行等作为托管人（以下简称境内托管人）负责资产托管业务，并通过境内托管人持以下材料向国家外汇管理局进行跨境证券交易登记......。</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4D4D77" w:rsidRDefault="004D4D77" w:rsidP="004D4D77">
      <w:pPr>
        <w:spacing w:line="540" w:lineRule="exact"/>
        <w:outlineLvl w:val="1"/>
        <w:rPr>
          <w:rFonts w:ascii="Times New Roman" w:eastAsia="黑体" w:hAnsi="Times New Roman" w:hint="eastAsia"/>
          <w:sz w:val="28"/>
          <w:szCs w:val="28"/>
        </w:rPr>
      </w:pPr>
      <w:bookmarkStart w:id="4" w:name="_Toc778786022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4D4D77" w:rsidRDefault="004D4D77" w:rsidP="004D4D77">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4D4D77" w:rsidRDefault="004D4D77" w:rsidP="004D4D77">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D4D77" w:rsidRDefault="004D4D77" w:rsidP="004D4D77">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4D4D77" w:rsidRDefault="004D4D77" w:rsidP="004D4D7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D4D77" w:rsidRDefault="004D4D77" w:rsidP="004D4D77">
      <w:pPr>
        <w:spacing w:line="540" w:lineRule="exact"/>
        <w:outlineLvl w:val="1"/>
        <w:rPr>
          <w:rFonts w:ascii="Times New Roman" w:eastAsia="黑体" w:hAnsi="Times New Roman"/>
          <w:sz w:val="28"/>
          <w:szCs w:val="28"/>
        </w:rPr>
      </w:pPr>
      <w:bookmarkStart w:id="5" w:name="_Toc1170140523_WPSOffice_Level1"/>
      <w:r>
        <w:rPr>
          <w:rFonts w:ascii="Times New Roman" w:eastAsia="黑体" w:hAnsi="Times New Roman" w:hint="eastAsia"/>
          <w:sz w:val="28"/>
          <w:szCs w:val="28"/>
        </w:rPr>
        <w:t>五、申请材料</w:t>
      </w:r>
      <w:bookmarkEnd w:id="5"/>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境内托管人营业执照（统一社会信用代码证）原件或加盖公章的复印件1份。</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加盖公章或有权签字人签字的书面申请原件1份，详细说明购买证券的种类、规模、金额、资金来源（自有资金、投资者委托资金）、境内托管人信息、已登记跨境证券交易情况（追加登记时提供）等1份。</w:t>
      </w:r>
      <w:r>
        <w:rPr>
          <w:rFonts w:ascii="方正仿宋_GBK" w:eastAsia="方正仿宋_GBK" w:hAnsi="方正仿宋_GBK" w:cs="方正仿宋_GBK" w:hint="eastAsia"/>
          <w:sz w:val="28"/>
          <w:szCs w:val="28"/>
        </w:rPr>
        <w:tab/>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境外转换机构开展跨境转换业务相关证明文件原件及加盖公章的复印件各1份（验原件，留存复印件）。</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（1）《存托凭证跨境资金管理办法（试行）》（中国人民银行 国家外汇管理局公告﹝2019﹞第8号）第十二条符合规定的境外转换机构以非新增证券为基础生成或兑回境外存托凭证的，应委托境内一家具有相关业务资格的商业银行等作为托管人（以下简称境内托管人）负责资产托管业务，并通过境内托管人持以下材料向国家外汇管理局进</w:t>
      </w:r>
      <w:r>
        <w:rPr>
          <w:rFonts w:ascii="方正仿宋_GBK" w:eastAsia="方正仿宋_GBK" w:hAnsi="方正仿宋_GBK" w:cs="方正仿宋_GBK" w:hint="eastAsia"/>
          <w:sz w:val="28"/>
          <w:szCs w:val="28"/>
        </w:rPr>
        <w:lastRenderedPageBreak/>
        <w:t>行跨境证券交易登记：（一）书面申请，详细说明购买证券的种类、规模、金额、资金来源（自有资金、投资者委托资金）、境内托管人信息、已登记跨境证券交易情况（追加登记时提供）等；（二）境外转换机构开展跨境转换业务相关证明文件......。</w:t>
      </w:r>
    </w:p>
    <w:p w:rsidR="004D4D77" w:rsidRDefault="004D4D77" w:rsidP="004D4D77">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4D4D77" w:rsidRDefault="004D4D77" w:rsidP="004D4D77">
      <w:pPr>
        <w:spacing w:line="540" w:lineRule="exact"/>
        <w:outlineLvl w:val="2"/>
        <w:rPr>
          <w:rFonts w:ascii="方正仿宋_GBK" w:eastAsia="方正仿宋_GBK" w:hAnsi="方正仿宋_GBK" w:cs="方正仿宋_GBK"/>
          <w:sz w:val="28"/>
          <w:szCs w:val="28"/>
        </w:rPr>
      </w:pPr>
      <w:bookmarkStart w:id="6" w:name="_Toc796345119_WPSOffice_Level1"/>
      <w:r>
        <w:rPr>
          <w:rFonts w:ascii="方正仿宋_GBK" w:eastAsia="方正仿宋_GBK" w:hAnsi="方正仿宋_GBK" w:cs="方正仿宋_GBK" w:hint="eastAsia"/>
          <w:sz w:val="28"/>
          <w:szCs w:val="28"/>
        </w:rPr>
        <w:t>六、</w:t>
      </w:r>
      <w:r>
        <w:rPr>
          <w:rFonts w:ascii="Times New Roman" w:eastAsia="黑体" w:hAnsi="Times New Roman" w:hint="eastAsia"/>
          <w:sz w:val="28"/>
          <w:szCs w:val="28"/>
        </w:rPr>
        <w:t>中介服务</w:t>
      </w:r>
      <w:bookmarkEnd w:id="6"/>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7" w:name="_Toc1237964179_WPSOffice_Level1"/>
      <w:r>
        <w:rPr>
          <w:rFonts w:ascii="Times New Roman" w:eastAsia="黑体" w:hAnsi="Times New Roman" w:hint="eastAsia"/>
          <w:sz w:val="28"/>
          <w:szCs w:val="28"/>
        </w:rPr>
        <w:t>七、审批程序</w:t>
      </w:r>
      <w:bookmarkEnd w:id="7"/>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4D4D77" w:rsidRDefault="004D4D77" w:rsidP="004D4D7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4D4D77" w:rsidRDefault="004D4D77" w:rsidP="004D4D77">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（一）申请事项属于本局职责范围，但依法不需要取得行政许可</w:t>
      </w:r>
      <w:r>
        <w:rPr>
          <w:rFonts w:ascii="方正仿宋_GBK" w:eastAsia="方正仿宋_GBK" w:hAnsi="方正仿宋_GBK" w:cs="方正仿宋_GBK"/>
          <w:sz w:val="28"/>
          <w:szCs w:val="28"/>
        </w:rPr>
        <w:lastRenderedPageBreak/>
        <w:t>的，应即时告知申请人不受理，出具不予受理行政许可通知书；</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D4D77" w:rsidRDefault="004D4D77" w:rsidP="004D4D77">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D4D77" w:rsidRDefault="004D4D77" w:rsidP="004D4D77">
      <w:pPr>
        <w:spacing w:line="540" w:lineRule="exact"/>
        <w:outlineLvl w:val="1"/>
        <w:rPr>
          <w:rFonts w:ascii="Times New Roman" w:eastAsia="黑体" w:hAnsi="Times New Roman"/>
          <w:sz w:val="28"/>
          <w:szCs w:val="28"/>
        </w:rPr>
      </w:pPr>
      <w:bookmarkStart w:id="8" w:name="_Toc1396535886_WPSOffice_Level1"/>
      <w:r>
        <w:rPr>
          <w:rFonts w:ascii="Times New Roman" w:eastAsia="黑体" w:hAnsi="Times New Roman" w:hint="eastAsia"/>
          <w:sz w:val="28"/>
          <w:szCs w:val="28"/>
        </w:rPr>
        <w:t>八、受理和审批时限</w:t>
      </w:r>
      <w:bookmarkEnd w:id="8"/>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4D4D77" w:rsidRDefault="004D4D77" w:rsidP="004D4D7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w:t>
      </w:r>
      <w:r>
        <w:rPr>
          <w:rFonts w:ascii="方正仿宋_GBK" w:eastAsia="方正仿宋_GBK" w:hAnsi="方正仿宋_GBK" w:cs="方正仿宋_GBK"/>
          <w:sz w:val="28"/>
          <w:szCs w:val="28"/>
        </w:rPr>
        <w:lastRenderedPageBreak/>
        <w:t>办理期限通知书，说明延长期限的理由。行政许可办理期限只能延长一次。</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D4D77" w:rsidRDefault="004D4D77" w:rsidP="004D4D7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4D4D77" w:rsidRDefault="004D4D77" w:rsidP="004D4D77">
      <w:pPr>
        <w:spacing w:line="600" w:lineRule="exact"/>
        <w:ind w:firstLineChars="200" w:firstLine="562"/>
        <w:rPr>
          <w:rFonts w:ascii="方正仿宋_GBK" w:eastAsia="方正仿宋_GBK" w:hAnsi="方正仿宋_GBK" w:cs="方正仿宋_GBK"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4D4D77" w:rsidRDefault="004D4D77" w:rsidP="004D4D77">
      <w:pPr>
        <w:spacing w:line="600" w:lineRule="exact"/>
        <w:rPr>
          <w:rFonts w:ascii="方正仿宋_GBK" w:eastAsia="方正仿宋_GBK" w:hAnsi="方正仿宋_GBK" w:cs="方正仿宋_GBK"/>
          <w:sz w:val="28"/>
          <w:szCs w:val="28"/>
        </w:rPr>
      </w:pPr>
      <w:bookmarkStart w:id="9" w:name="_Toc500991428_WPSOffice_Level1"/>
      <w:r>
        <w:rPr>
          <w:rFonts w:ascii="方正仿宋_GBK" w:eastAsia="方正仿宋_GBK" w:hAnsi="方正仿宋_GBK" w:cs="方正仿宋_GBK" w:hint="eastAsia"/>
          <w:sz w:val="28"/>
          <w:szCs w:val="28"/>
        </w:rPr>
        <w:t>九、</w:t>
      </w:r>
      <w:r>
        <w:rPr>
          <w:rFonts w:ascii="Times New Roman" w:eastAsia="黑体" w:hAnsi="Times New Roman" w:hint="eastAsia"/>
          <w:sz w:val="28"/>
          <w:szCs w:val="28"/>
        </w:rPr>
        <w:t>收费</w:t>
      </w:r>
      <w:bookmarkEnd w:id="9"/>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10" w:name="_Toc70702311_WPSOffice_Level1"/>
      <w:r>
        <w:rPr>
          <w:rFonts w:ascii="Times New Roman" w:eastAsia="黑体" w:hAnsi="Times New Roman" w:hint="eastAsia"/>
          <w:sz w:val="28"/>
          <w:szCs w:val="28"/>
        </w:rPr>
        <w:t>十、行政许可证件</w:t>
      </w:r>
      <w:bookmarkEnd w:id="10"/>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当次</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D4D77" w:rsidRDefault="004D4D77" w:rsidP="004D4D77">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11" w:name="_Toc1882893537_WPSOffice_Level1"/>
      <w:r>
        <w:rPr>
          <w:rFonts w:ascii="Times New Roman" w:eastAsia="黑体" w:hAnsi="Times New Roman" w:hint="eastAsia"/>
          <w:sz w:val="28"/>
          <w:szCs w:val="28"/>
        </w:rPr>
        <w:lastRenderedPageBreak/>
        <w:t>十一、行政许可数量限制</w:t>
      </w:r>
      <w:bookmarkEnd w:id="11"/>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12" w:name="_Toc1866001199_WPSOffice_Level1"/>
      <w:r>
        <w:rPr>
          <w:rFonts w:ascii="Times New Roman" w:eastAsia="黑体" w:hAnsi="Times New Roman" w:hint="eastAsia"/>
          <w:sz w:val="28"/>
          <w:szCs w:val="28"/>
        </w:rPr>
        <w:t>十二、行政许可后年检</w:t>
      </w:r>
      <w:bookmarkEnd w:id="12"/>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D4D77" w:rsidRDefault="004D4D77" w:rsidP="004D4D77">
      <w:pPr>
        <w:spacing w:line="540" w:lineRule="exact"/>
        <w:outlineLvl w:val="2"/>
        <w:rPr>
          <w:rFonts w:ascii="Times New Roman" w:eastAsia="仿宋GB2312" w:hAnsi="Times New Roman"/>
          <w:sz w:val="28"/>
          <w:szCs w:val="28"/>
        </w:rPr>
      </w:pPr>
      <w:bookmarkStart w:id="13" w:name="_Toc787702545_WPSOffice_Level1"/>
      <w:r>
        <w:rPr>
          <w:rFonts w:ascii="Times New Roman" w:eastAsia="仿宋GB2312" w:hAnsi="Times New Roman" w:hint="eastAsia"/>
          <w:sz w:val="28"/>
          <w:szCs w:val="28"/>
        </w:rPr>
        <w:t>十三、</w:t>
      </w:r>
      <w:r>
        <w:rPr>
          <w:rFonts w:ascii="Times New Roman" w:eastAsia="黑体" w:hAnsi="Times New Roman" w:hint="eastAsia"/>
          <w:sz w:val="28"/>
          <w:szCs w:val="28"/>
        </w:rPr>
        <w:t>行政许可后年报</w:t>
      </w:r>
      <w:bookmarkEnd w:id="13"/>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D4D77" w:rsidRDefault="004D4D77" w:rsidP="004D4D77">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D4D77" w:rsidRDefault="004D4D77" w:rsidP="004D4D77">
      <w:pPr>
        <w:spacing w:line="540" w:lineRule="exact"/>
        <w:outlineLvl w:val="1"/>
        <w:rPr>
          <w:rFonts w:ascii="Times New Roman" w:eastAsia="黑体" w:hAnsi="Times New Roman"/>
          <w:sz w:val="28"/>
          <w:szCs w:val="28"/>
        </w:rPr>
      </w:pPr>
      <w:bookmarkStart w:id="14" w:name="_Toc829052711_WPSOffice_Level1"/>
      <w:r>
        <w:rPr>
          <w:rFonts w:ascii="Times New Roman" w:eastAsia="黑体" w:hAnsi="Times New Roman" w:hint="eastAsia"/>
          <w:sz w:val="28"/>
          <w:szCs w:val="28"/>
        </w:rPr>
        <w:t>十四、监管主体</w:t>
      </w:r>
      <w:bookmarkEnd w:id="14"/>
    </w:p>
    <w:p w:rsidR="004D4D77" w:rsidRDefault="004D4D77" w:rsidP="004D4D77">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国家外汇局及其分支局</w:t>
      </w:r>
    </w:p>
    <w:p w:rsidR="004D4D77" w:rsidRDefault="004D4D77" w:rsidP="004D4D77">
      <w:pPr>
        <w:spacing w:line="540" w:lineRule="exact"/>
        <w:outlineLvl w:val="1"/>
        <w:rPr>
          <w:rFonts w:ascii="Times New Roman" w:eastAsia="黑体" w:hAnsi="Times New Roman"/>
          <w:sz w:val="28"/>
          <w:szCs w:val="28"/>
        </w:rPr>
      </w:pPr>
      <w:bookmarkStart w:id="15" w:name="_Toc1566905750_WPSOffice_Level1"/>
      <w:r>
        <w:rPr>
          <w:rFonts w:ascii="Times New Roman" w:eastAsia="黑体" w:hAnsi="Times New Roman" w:hint="eastAsia"/>
          <w:sz w:val="28"/>
          <w:szCs w:val="28"/>
        </w:rPr>
        <w:t>十五、业务办理信息</w:t>
      </w:r>
      <w:bookmarkEnd w:id="15"/>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4D4D77" w:rsidRDefault="004D4D77" w:rsidP="004D4D77">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尚不适合互联网办理</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4D4D77" w:rsidRDefault="004D4D77" w:rsidP="004D4D7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（010）68402347</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4D4D77" w:rsidRDefault="004D4D77" w:rsidP="004D4D7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4D4D77" w:rsidRDefault="00A611B3"/>
    <w:sectPr w:rsidR="00A611B3" w:rsidRPr="004D4D77"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4D77"/>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4D77"/>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7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2023-10-07T06:19:00Z</dcterms:created>
  <dcterms:modified xsi:type="dcterms:W3CDTF">2023-10-07T06:20:00Z</dcterms:modified>
</cp:coreProperties>
</file>