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cs="Times New Roman"/>
          <w:sz w:val="20"/>
          <w:lang w:val="en-US" w:bidi="ar-SA"/>
        </w:rPr>
        <w:drawing>
          <wp:anchor distT="0" distB="0" distL="0" distR="0" simplePos="0" relativeHeight="251658240" behindDoc="0" locked="0" layoutInCell="1" allowOverlap="1">
            <wp:simplePos x="0" y="0"/>
            <wp:positionH relativeFrom="page">
              <wp:posOffset>5570855</wp:posOffset>
            </wp:positionH>
            <wp:positionV relativeFrom="paragraph">
              <wp:posOffset>24130</wp:posOffset>
            </wp:positionV>
            <wp:extent cx="1052195" cy="8185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052195" cy="818515"/>
                    </a:xfrm>
                    <a:prstGeom prst="rect">
                      <a:avLst/>
                    </a:prstGeom>
                  </pic:spPr>
                </pic:pic>
              </a:graphicData>
            </a:graphic>
          </wp:anchor>
        </w:drawing>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eastAsiaTheme="minorEastAsia"/>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cs="Times New Roman" w:eastAsiaTheme="minorEastAsia"/>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cs="Times New Roman" w:eastAsiaTheme="minorEastAsia"/>
          <w:sz w:val="52"/>
        </w:rPr>
        <w:t>”</w:t>
      </w:r>
      <w:r>
        <w:rPr>
          <w:rFonts w:ascii="Times New Roman" w:hAnsi="黑体" w:eastAsia="黑体" w:cs="Times New Roman"/>
          <w:sz w:val="52"/>
        </w:rPr>
        <w:t>行政审批服务指南</w:t>
      </w:r>
    </w:p>
    <w:p>
      <w:pPr>
        <w:pStyle w:val="2"/>
        <w:ind w:left="0"/>
        <w:rPr>
          <w:rFonts w:ascii="Times New Roman" w:hAnsi="Times New Roman" w:cs="Times New Roman" w:eastAsiaTheme="minorEastAsia"/>
          <w:sz w:val="52"/>
        </w:rPr>
      </w:pPr>
    </w:p>
    <w:p>
      <w:pPr>
        <w:pStyle w:val="2"/>
        <w:ind w:left="0"/>
        <w:rPr>
          <w:rFonts w:ascii="Times New Roman" w:hAnsi="Times New Roman" w:cs="Times New Roman" w:eastAsiaTheme="minorEastAsia"/>
          <w:sz w:val="52"/>
        </w:rPr>
      </w:pPr>
    </w:p>
    <w:p>
      <w:pPr>
        <w:pStyle w:val="2"/>
        <w:ind w:left="0"/>
        <w:rPr>
          <w:rFonts w:ascii="Times New Roman" w:hAnsi="Times New Roman" w:cs="Times New Roman" w:eastAsiaTheme="minorEastAsia"/>
          <w:sz w:val="52"/>
        </w:rPr>
      </w:pPr>
    </w:p>
    <w:p>
      <w:pPr>
        <w:pStyle w:val="2"/>
        <w:adjustRightInd w:val="0"/>
        <w:snapToGrid w:val="0"/>
        <w:spacing w:before="413"/>
        <w:ind w:left="729" w:right="692"/>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：2020</w:t>
      </w:r>
      <w:r>
        <w:rPr>
          <w:rFonts w:ascii="Times New Roman" w:hAnsi="Times New Roman" w:eastAsia="仿宋_GB2312" w:cs="Times New Roman"/>
        </w:rPr>
        <w:t>年</w:t>
      </w:r>
      <w:r>
        <w:rPr>
          <w:rFonts w:hint="eastAsia" w:ascii="Times New Roman" w:hAnsi="Times New Roman" w:eastAsia="仿宋_GB2312" w:cs="Times New Roman"/>
        </w:rPr>
        <w:t>11</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adjustRightInd w:val="0"/>
        <w:snapToGrid w:val="0"/>
        <w:spacing w:before="239"/>
        <w:ind w:leftChars="618" w:right="2740" w:firstLine="1800" w:firstLineChars="600"/>
        <w:rPr>
          <w:rFonts w:ascii="Times New Roman" w:hAnsi="Times New Roman" w:eastAsia="仿宋_GB2312" w:cs="Times New Roman"/>
          <w:spacing w:val="-12"/>
        </w:rPr>
      </w:pPr>
      <w:r>
        <w:rPr>
          <w:rFonts w:ascii="Times New Roman" w:hAnsi="Times New Roman" w:eastAsia="仿宋_GB2312" w:cs="Times New Roman"/>
        </w:rPr>
        <w:t>实施日期</w:t>
      </w:r>
      <w:r>
        <w:rPr>
          <w:rFonts w:hint="eastAsia" w:ascii="Times New Roman" w:hAnsi="Times New Roman" w:eastAsia="仿宋_GB2312" w:cs="Times New Roman"/>
        </w:rPr>
        <w:t>：2020</w:t>
      </w:r>
      <w:r>
        <w:rPr>
          <w:rFonts w:ascii="Times New Roman" w:hAnsi="Times New Roman" w:eastAsia="仿宋_GB2312" w:cs="Times New Roman"/>
          <w:spacing w:val="-37"/>
        </w:rPr>
        <w:t>年</w:t>
      </w:r>
      <w:r>
        <w:rPr>
          <w:rFonts w:hint="eastAsia" w:ascii="Times New Roman" w:hAnsi="Times New Roman" w:eastAsia="仿宋_GB2312" w:cs="Times New Roman"/>
          <w:spacing w:val="-5"/>
        </w:rPr>
        <w:t>11</w:t>
      </w:r>
      <w:r>
        <w:rPr>
          <w:rFonts w:ascii="Times New Roman" w:hAnsi="Times New Roman" w:eastAsia="仿宋_GB2312" w:cs="Times New Roman"/>
          <w:spacing w:val="-38"/>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spacing w:val="-12"/>
        </w:rPr>
        <w:t>日</w:t>
      </w:r>
    </w:p>
    <w:p>
      <w:pPr>
        <w:pStyle w:val="2"/>
        <w:adjustRightInd w:val="0"/>
        <w:snapToGrid w:val="0"/>
        <w:spacing w:before="239"/>
        <w:ind w:left="2780" w:right="2740"/>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ascii="Times New Roman" w:hAnsi="Times New Roman" w:eastAsia="仿宋_GB2312" w:cs="Times New Roman"/>
        </w:rPr>
        <w:t>发布机构：</w:t>
      </w:r>
      <w:bookmarkStart w:id="0" w:name="_GoBack"/>
      <w:r>
        <w:rPr>
          <w:rFonts w:ascii="Times New Roman" w:hAnsi="Times New Roman" w:eastAsia="仿宋_GB2312" w:cs="Times New Roman"/>
        </w:rPr>
        <w:t>国</w:t>
      </w:r>
      <w:bookmarkEnd w:id="0"/>
      <w:r>
        <w:rPr>
          <w:rFonts w:ascii="Times New Roman" w:hAnsi="Times New Roman" w:eastAsia="仿宋_GB2312" w:cs="Times New Roman"/>
        </w:rPr>
        <w:t>家外汇管理局</w:t>
      </w: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8"/>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1"/>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1"/>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1"/>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1"/>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1"/>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1"/>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tcPr>
          <w:p>
            <w:pPr>
              <w:autoSpaceDE/>
              <w:autoSpaceDN/>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1"/>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57"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1"/>
              <w:ind w:left="106"/>
              <w:jc w:val="center"/>
              <w:rPr>
                <w:rFonts w:ascii="Times New Roman" w:hAnsi="Times New Roman" w:eastAsia="仿宋_GB2312" w:cs="Times New Roman"/>
                <w:color w:val="FF0000"/>
                <w:sz w:val="24"/>
                <w:szCs w:val="24"/>
              </w:rPr>
            </w:pPr>
          </w:p>
          <w:p>
            <w:pPr>
              <w:pStyle w:val="11"/>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1"/>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tcPr>
          <w:p>
            <w:pPr>
              <w:autoSpaceDE/>
              <w:autoSpaceDN/>
              <w:jc w:val="both"/>
              <w:rPr>
                <w:rFonts w:ascii="Times New Roman" w:hAnsi="Times New Roman" w:eastAsia="仿宋_GB2312" w:cs="Times New Roman"/>
                <w:kern w:val="2"/>
                <w:sz w:val="24"/>
                <w:szCs w:val="24"/>
                <w:lang w:val="en-US" w:bidi="ar-SA"/>
              </w:rPr>
            </w:pPr>
          </w:p>
        </w:tc>
        <w:tc>
          <w:tcPr>
            <w:tcW w:w="1842" w:type="dxa"/>
            <w:vMerge w:val="continue"/>
          </w:tcPr>
          <w:p>
            <w:pPr>
              <w:autoSpaceDE/>
              <w:autoSpaceDN/>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1"/>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tcPr>
          <w:p>
            <w:pPr>
              <w:autoSpaceDE/>
              <w:autoSpaceDN/>
              <w:jc w:val="both"/>
              <w:rPr>
                <w:rFonts w:ascii="Times New Roman" w:hAnsi="Times New Roman" w:eastAsia="仿宋_GB2312" w:cs="Times New Roman"/>
                <w:kern w:val="2"/>
                <w:sz w:val="24"/>
                <w:szCs w:val="24"/>
                <w:lang w:val="en-US" w:bidi="ar-SA"/>
              </w:rPr>
            </w:pPr>
          </w:p>
        </w:tc>
        <w:tc>
          <w:tcPr>
            <w:tcW w:w="1842" w:type="dxa"/>
            <w:vMerge w:val="continue"/>
          </w:tcPr>
          <w:p>
            <w:pPr>
              <w:autoSpaceDE/>
              <w:autoSpaceDN/>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8"/>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5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1"/>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1"/>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1"/>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1"/>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1"/>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trPr>
        <w:tc>
          <w:tcPr>
            <w:tcW w:w="45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1"/>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1"/>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1"/>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1"/>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tcPr>
          <w:p>
            <w:pPr>
              <w:autoSpaceDE/>
              <w:autoSpaceDN/>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1"/>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1"/>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17" w:firstLine="560" w:firstLineChars="200"/>
        <w:jc w:val="both"/>
        <w:rPr>
          <w:rFonts w:ascii="Times New Roman" w:hAnsi="Times New Roman" w:cs="Times New Roman" w:eastAsiaTheme="minorEastAsia"/>
        </w:rPr>
      </w:pPr>
      <w:r>
        <w:rPr>
          <w:rFonts w:ascii="Times New Roman" w:hAnsi="Times New Roman" w:eastAsia="仿宋_GB2312" w:cs="Times New Roman"/>
          <w:spacing w:val="-10"/>
        </w:rPr>
        <w:t>向国家外汇管理局咨询、监督投诉等可通过国家外汇管理局</w:t>
      </w:r>
      <w:r>
        <w:rPr>
          <w:rFonts w:ascii="Times New Roman" w:hAnsi="Times New Roman" w:eastAsia="仿宋_GB2312" w:cs="Times New Roman"/>
          <w:spacing w:val="4"/>
        </w:rPr>
        <w:t>官方互联网站公众交流栏目进行。网址为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rPr>
        <w:t>www.safe.gov.cn</w:t>
      </w:r>
      <w:r>
        <w:rPr>
          <w:rFonts w:ascii="Times New Roman" w:hAnsi="Times New Roman" w:eastAsia="仿宋_GB2312" w:cs="Times New Roman"/>
          <w:spacing w:val="-4"/>
        </w:rPr>
        <w:fldChar w:fldCharType="end"/>
      </w:r>
      <w:r>
        <w:rPr>
          <w:rFonts w:ascii="Times New Roman" w:hAnsi="Times New Roman" w:cs="Times New Roman" w:eastAsiaTheme="minorEastAsia"/>
        </w:rPr>
        <w:t>。</w:t>
      </w:r>
    </w:p>
    <w:p>
      <w:pPr>
        <w:pStyle w:val="2"/>
        <w:spacing w:line="600" w:lineRule="exact"/>
        <w:ind w:left="770" w:leftChars="350" w:right="415" w:firstLine="552" w:firstLineChars="196"/>
        <w:jc w:val="both"/>
        <w:rPr>
          <w:rFonts w:ascii="Times New Roman" w:hAnsi="Times New Roman" w:eastAsia="仿宋_GB2312" w:cs="Times New Roman"/>
        </w:rPr>
      </w:pPr>
      <w:r>
        <w:rPr>
          <w:rFonts w:ascii="Times New Roman" w:hAnsi="Times New Roman" w:eastAsia="仿宋_GB2312" w:cs="Times New Roman"/>
          <w:spacing w:val="-9"/>
        </w:rPr>
        <w:t>向各地外汇局进行咨询、进程查询、监督和投诉等可通过各</w:t>
      </w:r>
      <w:r>
        <w:rPr>
          <w:rFonts w:ascii="Times New Roman" w:hAnsi="Times New Roman" w:eastAsia="仿宋_GB2312" w:cs="Times New Roman"/>
          <w:spacing w:val="47"/>
        </w:rPr>
        <w:t>地外汇局官方互联网站的相应栏目进行。网址可通过</w:t>
      </w:r>
      <w:r>
        <w:fldChar w:fldCharType="begin"/>
      </w:r>
      <w:r>
        <w:instrText xml:space="preserve"> HYPERLINK "http://www.safe.gov.cn/" \h </w:instrText>
      </w:r>
      <w:r>
        <w:fldChar w:fldCharType="separate"/>
      </w:r>
      <w:r>
        <w:rPr>
          <w:rFonts w:ascii="Times New Roman" w:hAnsi="Times New Roman" w:eastAsia="仿宋_GB2312" w:cs="Times New Roman"/>
          <w:spacing w:val="-3"/>
        </w:rPr>
        <w:t xml:space="preserve">www.safe.gov.cn </w:t>
      </w:r>
      <w:r>
        <w:rPr>
          <w:rFonts w:ascii="Times New Roman" w:hAnsi="Times New Roman" w:eastAsia="仿宋_GB2312" w:cs="Times New Roman"/>
          <w:spacing w:val="-3"/>
        </w:rPr>
        <w:fldChar w:fldCharType="end"/>
      </w:r>
      <w:r>
        <w:rPr>
          <w:rFonts w:ascii="Times New Roman" w:hAnsi="Times New Roman" w:eastAsia="仿宋_GB2312" w:cs="Times New Roman"/>
          <w:spacing w:val="-12"/>
        </w:rPr>
        <w:t>进行链接，也可通过各外汇局官方互联网站上公布的电话进行。</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70" w:leftChars="350" w:right="420" w:firstLine="576" w:firstLineChars="200"/>
        <w:rPr>
          <w:rFonts w:ascii="Times New Roman" w:hAnsi="Times New Roman" w:eastAsia="仿宋_GB2312" w:cs="Times New Roman"/>
        </w:rPr>
      </w:pPr>
      <w:r>
        <w:rPr>
          <w:rFonts w:ascii="Times New Roman" w:hAnsi="Times New Roman" w:eastAsia="仿宋_GB2312" w:cs="Times New Roman"/>
          <w:spacing w:val="-6"/>
        </w:rPr>
        <w:t>该项行政许可具体由国家外汇管理局分支局办理，各地外汇</w:t>
      </w:r>
      <w:r>
        <w:rPr>
          <w:rFonts w:ascii="Times New Roman" w:hAnsi="Times New Roman" w:eastAsia="仿宋_GB2312" w:cs="Times New Roman"/>
        </w:rPr>
        <w:t>分局办公地址和办公时间见各地外汇局官方互联网站。</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3"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lang w:val="en-US" w:bidi="ar-SA"/>
        </w:rPr>
        <w:pict>
          <v:group id="_x0000_s2215" o:spid="_x0000_s2215" o:spt="203" style="position:absolute;left:0pt;margin-left:-8.25pt;margin-top:26.45pt;height:470.9pt;width:461.8pt;z-index:251660288;mso-width-relative:page;mso-height-relative:page;" coordorigin="205,3287" coordsize="9236,9418">
            <o:lock v:ext="edit"/>
            <v:shape id="_x0000_s2216" o:spid="_x0000_s2216" o:spt="32" type="#_x0000_t32" style="position:absolute;left:1818;top:4763;height:525;width:17;" o:connectortype="straight" filled="f" coordsize="21600,21600">
              <v:path arrowok="t"/>
              <v:fill on="f" focussize="0,0"/>
              <v:stroke endarrow="block"/>
              <v:imagedata o:title=""/>
              <o:lock v:ext="edit"/>
            </v:shape>
            <v:group id="_x0000_s2217" o:spid="_x0000_s2217" o:spt="203" style="position:absolute;left:205;top:3287;height:9418;width:9236;" coordorigin="205,3287" coordsize="9236,9418">
              <o:lock v:ext="edit"/>
              <v:shape id="_x0000_s2218" o:spid="_x0000_s2218" o:spt="116" type="#_x0000_t116" style="position:absolute;left:782;top:3287;height:1476;width:2027;" coordsize="21600,21600">
                <v:path/>
                <v:fill focussize="0,0"/>
                <v:stroke joinstyle="miter"/>
                <v:imagedata o:title=""/>
                <o:lock v:ext="edit"/>
                <v:textbox>
                  <w:txbxContent>
                    <w:p>
                      <w:pPr>
                        <w:ind w:left="425" w:leftChars="193"/>
                        <w:rPr>
                          <w:rFonts w:asciiTheme="minorEastAsia" w:hAnsiTheme="minorEastAsia" w:eastAsiaTheme="minorEastAsia"/>
                          <w:sz w:val="21"/>
                          <w:szCs w:val="21"/>
                        </w:rPr>
                      </w:pPr>
                      <w:r>
                        <w:rPr>
                          <w:rFonts w:hint="eastAsia" w:asciiTheme="minorEastAsia" w:hAnsiTheme="minorEastAsia" w:eastAsiaTheme="minorEastAsia"/>
                          <w:sz w:val="21"/>
                          <w:szCs w:val="21"/>
                        </w:rPr>
                        <w:t>申请人提出申请，并提交材料</w:t>
                      </w:r>
                    </w:p>
                  </w:txbxContent>
                </v:textbox>
              </v:shape>
              <v:shape id="_x0000_s2219" o:spid="_x0000_s2219" o:spt="4" type="#_x0000_t4" style="position:absolute;left:205;top:5291;height:2129;width:3278;" coordsize="21600,21600">
                <v:path/>
                <v:fill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接件并于5个工作日内作出是否受理决定</w:t>
                      </w:r>
                    </w:p>
                  </w:txbxContent>
                </v:textbox>
              </v:shape>
              <v:rect id="_x0000_s2220" o:spid="_x0000_s2220" o:spt="1" style="position:absolute;left:6512;top:3957;height:674;width:2929;" coordsize="21600,21600">
                <v:path/>
                <v:fill focussize="0,0"/>
                <v:stroke/>
                <v:imagedata o:title=""/>
                <o:lock v:ext="edit"/>
                <v:textbox>
                  <w:txbxContent>
                    <w:p>
                      <w:pPr>
                        <w:ind w:right="-1199" w:rightChars="-545"/>
                      </w:pPr>
                      <w:r>
                        <w:rPr>
                          <w:rFonts w:hint="eastAsia"/>
                        </w:rPr>
                        <w:t>申请人补全材料</w:t>
                      </w:r>
                    </w:p>
                  </w:txbxContent>
                </v:textbox>
              </v:rect>
              <v:rect id="_x0000_s2221" o:spid="_x0000_s2221" o:spt="1" style="position:absolute;left:4079;top:5626;height:500;width:5362;" coordsize="21600,21600">
                <v:path/>
                <v:fill focussize="0,0"/>
                <v:stroke/>
                <v:imagedata o:title=""/>
                <o:lock v:ext="edit"/>
                <v:textbox>
                  <w:txbxContent>
                    <w:p>
                      <w:r>
                        <w:rPr>
                          <w:rFonts w:hint="eastAsia" w:asciiTheme="minorEastAsia" w:hAnsiTheme="minorEastAsia" w:eastAsiaTheme="minorEastAsia"/>
                          <w:sz w:val="21"/>
                          <w:szCs w:val="21"/>
                        </w:rPr>
                        <w:t>材料不全或不符合法定形式的，一次性告知补正材</w:t>
                      </w:r>
                      <w:r>
                        <w:rPr>
                          <w:rFonts w:hint="eastAsia"/>
                        </w:rPr>
                        <w:t>料</w:t>
                      </w:r>
                    </w:p>
                  </w:txbxContent>
                </v:textbox>
              </v:rect>
              <v:rect id="_x0000_s2222" o:spid="_x0000_s2222" o:spt="1" style="position:absolute;left:4079;top:6514;height:906;width:5362;" coordsize="21600,21600">
                <v:path/>
                <v:fill focussize="0,0"/>
                <v:stroke/>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依法不予受理的，作出不予受理决定，出具不予受理通知书</w:t>
                      </w:r>
                    </w:p>
                  </w:txbxContent>
                </v:textbox>
              </v:rect>
              <v:rect id="_x0000_s2223" o:spid="_x0000_s2223" o:spt="1" style="position:absolute;left:2674;top:7751;height:1397;width:4218;" coordsize="21600,21600">
                <v:path/>
                <v:fill focussize="0,0"/>
                <v:stroke/>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材料齐全的，依法予以受理</w:t>
                      </w:r>
                    </w:p>
                  </w:txbxContent>
                </v:textbox>
              </v:rect>
              <v:shape id="_x0000_s2224" o:spid="_x0000_s2224" o:spt="4" type="#_x0000_t4" style="position:absolute;left:2907;top:9585;height:1708;width:3536;" coordsize="21600,21600">
                <v:path/>
                <v:fill focussize="0,0"/>
                <v:stroke joinstyle="miter"/>
                <v:imagedata o:title=""/>
                <o:lock v:ext="edit"/>
                <v:textbox>
                  <w:txbxContent>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审查报批</w:t>
                      </w:r>
                    </w:p>
                  </w:txbxContent>
                </v:textbox>
              </v:shape>
              <v:shape id="_x0000_s2225" o:spid="_x0000_s2225" o:spt="116" type="#_x0000_t116" style="position:absolute;left:5368;top:11738;height:967;width:3617;" coordsize="21600,21600">
                <v:path/>
                <v:fill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依法作出不予许可决定</w:t>
                      </w:r>
                    </w:p>
                  </w:txbxContent>
                </v:textbox>
              </v:shape>
              <v:shape id="_x0000_s2226" o:spid="_x0000_s2226" o:spt="116" type="#_x0000_t116" style="position:absolute;left:978;top:11738;height:967;width:4116;" coordsize="21600,21600">
                <v:path/>
                <v:fill focussize="0,0"/>
                <v:stroke joinstyle="miter"/>
                <v:imagedata o:title=""/>
                <o:lock v:ext="edit"/>
                <v:textbox>
                  <w:txbxContent>
                    <w:p>
                      <w:pPr>
                        <w:rPr>
                          <w:rFonts w:asciiTheme="minorEastAsia" w:hAnsiTheme="minorEastAsia" w:eastAsiaTheme="minorEastAsia"/>
                          <w:sz w:val="21"/>
                          <w:szCs w:val="21"/>
                        </w:rPr>
                      </w:pPr>
                      <w:r>
                        <w:rPr>
                          <w:rFonts w:hint="eastAsia" w:asciiTheme="minorEastAsia" w:hAnsiTheme="minorEastAsia" w:eastAsiaTheme="minorEastAsia"/>
                          <w:sz w:val="21"/>
                          <w:szCs w:val="21"/>
                        </w:rPr>
                        <w:t>予以许可</w:t>
                      </w:r>
                    </w:p>
                  </w:txbxContent>
                </v:textbox>
              </v:shape>
              <v:shape id="_x0000_s2227" o:spid="_x0000_s2227" o:spt="32" type="#_x0000_t32" style="position:absolute;left:2809;top:5894;height:1;width:1270;" o:connectortype="straight" filled="f" coordsize="21600,21600">
                <v:path arrowok="t"/>
                <v:fill on="f" focussize="0,0"/>
                <v:stroke endarrow="block"/>
                <v:imagedata o:title=""/>
                <o:lock v:ext="edit"/>
              </v:shape>
              <v:shape id="_x0000_s2228" o:spid="_x0000_s2228" o:spt="32" type="#_x0000_t32" style="position:absolute;left:2809;top:6764;height:1;width:1270;" o:connectortype="straight" filled="f" coordsize="21600,21600">
                <v:path arrowok="t"/>
                <v:fill on="f" focussize="0,0"/>
                <v:stroke endarrow="block"/>
                <v:imagedata o:title=""/>
                <o:lock v:ext="edit"/>
              </v:shape>
              <v:shape id="_x0000_s2229" o:spid="_x0000_s2229" o:spt="32" type="#_x0000_t32" style="position:absolute;left:7946;top:4631;flip:y;height:895;width:1;" o:connectortype="straight" filled="f" coordsize="21600,21600">
                <v:path arrowok="t"/>
                <v:fill on="f" focussize="0,0"/>
                <v:stroke endarrow="block"/>
                <v:imagedata o:title=""/>
                <o:lock v:ext="edit"/>
              </v:shape>
              <v:shape id="_x0000_s2230" o:spid="_x0000_s2230" o:spt="32" type="#_x0000_t32" style="position:absolute;left:2809;top:4346;flip:x;height:0;width:3703;" o:connectortype="straight" filled="f" coordsize="21600,21600">
                <v:path arrowok="t"/>
                <v:fill on="f" focussize="0,0"/>
                <v:stroke endarrow="block"/>
                <v:imagedata o:title=""/>
                <o:lock v:ext="edit"/>
              </v:shape>
              <v:shape id="_x0000_s2231" o:spid="_x0000_s2231" o:spt="32" type="#_x0000_t32" style="position:absolute;left:4632;top:9148;height:437;width:0;" o:connectortype="straight" filled="f" coordsize="21600,21600">
                <v:path arrowok="t"/>
                <v:fill on="f" focussize="0,0"/>
                <v:stroke endarrow="block"/>
                <v:imagedata o:title=""/>
                <o:lock v:ext="edit"/>
              </v:shape>
              <v:shape id="_x0000_s2232" o:spid="_x0000_s2232" o:spt="32" type="#_x0000_t32" style="position:absolute;left:5996;top:10681;height:1057;width:17;" o:connectortype="straight" filled="f" coordsize="21600,21600">
                <v:path arrowok="t"/>
                <v:fill on="f" focussize="0,0"/>
                <v:stroke endarrow="block"/>
                <v:imagedata o:title=""/>
                <o:lock v:ext="edit"/>
              </v:shape>
              <v:shape id="_x0000_s2233" o:spid="_x0000_s2233" o:spt="32" type="#_x0000_t32" style="position:absolute;left:3482;top:10681;height:1057;width:1;" o:connectortype="straight" filled="f" coordsize="21600,21600">
                <v:path arrowok="t"/>
                <v:fill on="f" focussize="0,0"/>
                <v:stroke endarrow="block"/>
                <v:imagedata o:title=""/>
                <o:lock v:ext="edit"/>
              </v:shape>
              <v:shape id="_x0000_s2234" o:spid="_x0000_s2234" o:spt="32" type="#_x0000_t32" style="position:absolute;left:1853;top:7420;height:921;width:1;" o:connectortype="straight" filled="f" coordsize="21600,21600">
                <v:path arrowok="t"/>
                <v:fill on="f" focussize="0,0"/>
                <v:stroke/>
                <v:imagedata o:title=""/>
                <o:lock v:ext="edit"/>
              </v:shape>
              <v:shape id="_x0000_s2235" o:spid="_x0000_s2235" o:spt="32" type="#_x0000_t32" style="position:absolute;left:1853;top:8339;height:0;width:822;" o:connectortype="straight" filled="f" coordsize="21600,21600">
                <v:path arrowok="t"/>
                <v:fill on="f" focussize="0,0"/>
                <v:stroke endarrow="block"/>
                <v:imagedata o:title=""/>
                <o:lock v:ext="edit"/>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8"/>
        <w:tblW w:w="0" w:type="auto"/>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1" w:hRule="atLeast"/>
        </w:trPr>
        <w:tc>
          <w:tcPr>
            <w:tcW w:w="2830" w:type="dxa"/>
          </w:tcPr>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1"/>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tcPr>
          <w:p>
            <w:pPr>
              <w:pStyle w:val="11"/>
              <w:keepNext/>
              <w:keepLines/>
              <w:spacing w:line="420" w:lineRule="exact"/>
              <w:rPr>
                <w:rFonts w:ascii="Times New Roman" w:hAnsi="Times New Roman" w:eastAsia="仿宋_GB2312" w:cs="Times New Roman"/>
                <w:sz w:val="24"/>
                <w:szCs w:val="24"/>
              </w:rPr>
            </w:pPr>
          </w:p>
        </w:tc>
        <w:tc>
          <w:tcPr>
            <w:tcW w:w="1882" w:type="dxa"/>
          </w:tcPr>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1"/>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396" w:type="dxa"/>
            <w:gridSpan w:val="4"/>
          </w:tcPr>
          <w:p>
            <w:pPr>
              <w:pStyle w:val="11"/>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6" w:hRule="atLeast"/>
        </w:trPr>
        <w:tc>
          <w:tcPr>
            <w:tcW w:w="2830" w:type="dxa"/>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1"/>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4" w:hRule="atLeast"/>
        </w:trPr>
        <w:tc>
          <w:tcPr>
            <w:tcW w:w="2830" w:type="dxa"/>
          </w:tcPr>
          <w:p>
            <w:pPr>
              <w:pStyle w:val="11"/>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tcPr>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1"/>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3" w:hRule="atLeast"/>
        </w:trPr>
        <w:tc>
          <w:tcPr>
            <w:tcW w:w="2830" w:type="dxa"/>
          </w:tcPr>
          <w:p>
            <w:pPr>
              <w:pStyle w:val="11"/>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1"/>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cPr>
          <w:p>
            <w:pPr>
              <w:pStyle w:val="11"/>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8396" w:type="dxa"/>
            <w:gridSpan w:val="4"/>
          </w:tcPr>
          <w:p>
            <w:pPr>
              <w:pStyle w:val="11"/>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10" w:hRule="atLeast"/>
        </w:trPr>
        <w:tc>
          <w:tcPr>
            <w:tcW w:w="8396" w:type="dxa"/>
            <w:gridSpan w:val="4"/>
          </w:tcPr>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1"/>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1"/>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1"/>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1"/>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1"/>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1"/>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4"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rFonts w:eastAsiaTheme="minorEastAsia"/>
        <w:sz w:val="20"/>
      </w:rPr>
    </w:pPr>
  </w:p>
  <w:p>
    <w:pPr>
      <w:pStyle w:val="2"/>
      <w:spacing w:line="14" w:lineRule="auto"/>
      <w:ind w:left="0"/>
      <w:rPr>
        <w:sz w:val="20"/>
      </w:rPr>
    </w:pPr>
    <w:r>
      <w:pict>
        <v:shape id="_x0000_s1030" o:spid="_x0000_s1030" o:spt="202" type="#_x0000_t202" style="position:absolute;left:0pt;margin-left:293.3pt;margin-top:771.1pt;height:11pt;width:24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pict>
        <v:shape id="_x0000_s1025" o:spid="_x0000_s1025" o:spt="202" type="#_x0000_t202" style="position:absolute;left:0pt;margin-left:291.05pt;margin-top:771.1pt;height:11pt;width:13.15pt;mso-position-horizontal-relative:page;mso-position-vertical-relative:page;z-index:-253293568;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6B83"/>
    <w:multiLevelType w:val="multilevel"/>
    <w:tmpl w:val="7AEB6B83"/>
    <w:lvl w:ilvl="0" w:tentative="0">
      <w:start w:val="1"/>
      <w:numFmt w:val="japaneseCounting"/>
      <w:lvlText w:val="（%1）"/>
      <w:lvlJc w:val="left"/>
      <w:pPr>
        <w:ind w:left="2245" w:hanging="900"/>
      </w:pPr>
      <w:rPr>
        <w:rFonts w:hint="default"/>
      </w:rPr>
    </w:lvl>
    <w:lvl w:ilvl="1" w:tentative="0">
      <w:start w:val="1"/>
      <w:numFmt w:val="lowerLetter"/>
      <w:lvlText w:val="%2)"/>
      <w:lvlJc w:val="left"/>
      <w:pPr>
        <w:ind w:left="2185" w:hanging="420"/>
      </w:pPr>
    </w:lvl>
    <w:lvl w:ilvl="2" w:tentative="0">
      <w:start w:val="1"/>
      <w:numFmt w:val="lowerRoman"/>
      <w:lvlText w:val="%3."/>
      <w:lvlJc w:val="right"/>
      <w:pPr>
        <w:ind w:left="2605" w:hanging="420"/>
      </w:pPr>
    </w:lvl>
    <w:lvl w:ilvl="3" w:tentative="0">
      <w:start w:val="1"/>
      <w:numFmt w:val="decimal"/>
      <w:lvlText w:val="%4."/>
      <w:lvlJc w:val="left"/>
      <w:pPr>
        <w:ind w:left="3025" w:hanging="420"/>
      </w:pPr>
    </w:lvl>
    <w:lvl w:ilvl="4" w:tentative="0">
      <w:start w:val="1"/>
      <w:numFmt w:val="lowerLetter"/>
      <w:lvlText w:val="%5)"/>
      <w:lvlJc w:val="left"/>
      <w:pPr>
        <w:ind w:left="3445" w:hanging="420"/>
      </w:pPr>
    </w:lvl>
    <w:lvl w:ilvl="5" w:tentative="0">
      <w:start w:val="1"/>
      <w:numFmt w:val="lowerRoman"/>
      <w:lvlText w:val="%6."/>
      <w:lvlJc w:val="right"/>
      <w:pPr>
        <w:ind w:left="3865" w:hanging="420"/>
      </w:pPr>
    </w:lvl>
    <w:lvl w:ilvl="6" w:tentative="0">
      <w:start w:val="1"/>
      <w:numFmt w:val="decimal"/>
      <w:lvlText w:val="%7."/>
      <w:lvlJc w:val="left"/>
      <w:pPr>
        <w:ind w:left="4285" w:hanging="420"/>
      </w:pPr>
    </w:lvl>
    <w:lvl w:ilvl="7" w:tentative="0">
      <w:start w:val="1"/>
      <w:numFmt w:val="lowerLetter"/>
      <w:lvlText w:val="%8)"/>
      <w:lvlJc w:val="left"/>
      <w:pPr>
        <w:ind w:left="4705" w:hanging="420"/>
      </w:pPr>
    </w:lvl>
    <w:lvl w:ilvl="8" w:tentative="0">
      <w:start w:val="1"/>
      <w:numFmt w:val="lowerRoman"/>
      <w:lvlText w:val="%9."/>
      <w:lvlJc w:val="right"/>
      <w:pPr>
        <w:ind w:left="5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74223BFB"/>
    <w:rsid w:val="7E72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216"/>
        <o:r id="V:Rule2" type="connector" idref="#_x0000_s2227"/>
        <o:r id="V:Rule3" type="connector" idref="#_x0000_s2228"/>
        <o:r id="V:Rule4" type="connector" idref="#_x0000_s2229"/>
        <o:r id="V:Rule5" type="connector" idref="#_x0000_s2230"/>
        <o:r id="V:Rule6" type="connector" idref="#_x0000_s2231"/>
        <o:r id="V:Rule7" type="connector" idref="#_x0000_s2232"/>
        <o:r id="V:Rule8" type="connector" idref="#_x0000_s2233"/>
        <o:r id="V:Rule9" type="connector" idref="#_x0000_s2234"/>
        <o:r id="V:Rule10" type="connector" idref="#_x0000_s22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1"/>
    <w:pPr>
      <w:ind w:left="1360"/>
    </w:pPr>
    <w:rPr>
      <w:sz w:val="30"/>
      <w:szCs w:val="30"/>
    </w:rPr>
  </w:style>
  <w:style w:type="paragraph" w:styleId="3">
    <w:name w:val="Balloon Text"/>
    <w:basedOn w:val="1"/>
    <w:link w:val="14"/>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spacing w:line="382" w:lineRule="exact"/>
      <w:ind w:left="1662" w:hanging="303"/>
      <w:outlineLvl w:val="1"/>
    </w:pPr>
    <w:rPr>
      <w:b/>
      <w:bCs/>
      <w:sz w:val="30"/>
      <w:szCs w:val="30"/>
    </w:rPr>
  </w:style>
  <w:style w:type="paragraph" w:styleId="10">
    <w:name w:val="List Paragraph"/>
    <w:basedOn w:val="1"/>
    <w:qFormat/>
    <w:uiPriority w:val="1"/>
    <w:pPr>
      <w:ind w:left="760" w:firstLine="600"/>
    </w:pPr>
  </w:style>
  <w:style w:type="paragraph" w:customStyle="1" w:styleId="11">
    <w:name w:val="Table Paragraph"/>
    <w:basedOn w:val="1"/>
    <w:qFormat/>
    <w:uiPriority w:val="1"/>
  </w:style>
  <w:style w:type="character" w:customStyle="1" w:styleId="12">
    <w:name w:val="页眉 Char"/>
    <w:basedOn w:val="7"/>
    <w:link w:val="5"/>
    <w:semiHidden/>
    <w:uiPriority w:val="99"/>
    <w:rPr>
      <w:rFonts w:ascii="仿宋" w:hAnsi="仿宋" w:eastAsia="仿宋" w:cs="仿宋"/>
      <w:sz w:val="18"/>
      <w:szCs w:val="18"/>
      <w:lang w:val="zh-CN" w:eastAsia="zh-CN" w:bidi="zh-CN"/>
    </w:rPr>
  </w:style>
  <w:style w:type="character" w:customStyle="1" w:styleId="13">
    <w:name w:val="页脚 Char"/>
    <w:basedOn w:val="7"/>
    <w:link w:val="4"/>
    <w:semiHidden/>
    <w:uiPriority w:val="99"/>
    <w:rPr>
      <w:rFonts w:ascii="仿宋" w:hAnsi="仿宋" w:eastAsia="仿宋" w:cs="仿宋"/>
      <w:sz w:val="18"/>
      <w:szCs w:val="18"/>
      <w:lang w:val="zh-CN" w:eastAsia="zh-CN" w:bidi="zh-CN"/>
    </w:rPr>
  </w:style>
  <w:style w:type="character" w:customStyle="1" w:styleId="14">
    <w:name w:val="批注框文本 Char"/>
    <w:basedOn w:val="7"/>
    <w:link w:val="3"/>
    <w:semiHidden/>
    <w:uiPriority w:val="99"/>
    <w:rPr>
      <w:rFonts w:ascii="仿宋" w:hAnsi="仿宋" w:eastAsia="仿宋" w:cs="仿宋"/>
      <w:sz w:val="18"/>
      <w:szCs w:val="18"/>
      <w:lang w:val="zh-CN" w:eastAsia="zh-CN" w:bidi="zh-CN"/>
    </w:rPr>
  </w:style>
  <w:style w:type="character" w:customStyle="1" w:styleId="15">
    <w:name w:val="正文文本 Char"/>
    <w:basedOn w:val="7"/>
    <w:link w:val="2"/>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5"/>
    <customShpInfo spid="_x0000_s2216"/>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17"/>
    <customShpInfo spid="_x0000_s221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EF47A-8283-417D-8276-1E7D0DAEE67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969</TotalTime>
  <ScaleCrop>false</ScaleCrop>
  <LinksUpToDate>false</LinksUpToDate>
  <CharactersWithSpaces>2803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ydl-1312</cp:lastModifiedBy>
  <cp:lastPrinted>2020-03-31T03:19:00Z</cp:lastPrinted>
  <dcterms:modified xsi:type="dcterms:W3CDTF">2020-11-20T10:29:38Z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2052-11.1.0.10072</vt:lpwstr>
  </property>
</Properties>
</file>