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AB" w:rsidRDefault="008A158A" w:rsidP="00707F3F">
      <w:pPr>
        <w:jc w:val="right"/>
        <w:rPr>
          <w:rFonts w:ascii="Times New Roman" w:eastAsia="仿宋_GB2312" w:hAnsi="Times New Roman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</w:t>
      </w:r>
      <w:r w:rsidR="00FA6DE8">
        <w:rPr>
          <w:rFonts w:ascii="仿宋_GB2312" w:eastAsia="仿宋_GB2312" w:hint="eastAsia"/>
          <w:sz w:val="30"/>
          <w:szCs w:val="30"/>
        </w:rPr>
        <w:t xml:space="preserve">                                 </w:t>
      </w:r>
      <w:r w:rsidR="0045157A">
        <w:rPr>
          <w:rFonts w:ascii="仿宋_GB2312" w:eastAsia="仿宋_GB2312" w:hint="eastAsia"/>
          <w:sz w:val="30"/>
          <w:szCs w:val="30"/>
        </w:rPr>
        <w:t xml:space="preserve">  </w:t>
      </w:r>
      <w:r w:rsidR="0095499F">
        <w:rPr>
          <w:rFonts w:ascii="仿宋_GB2312" w:eastAsia="仿宋_GB2312" w:hint="eastAsia"/>
          <w:sz w:val="30"/>
          <w:szCs w:val="30"/>
        </w:rPr>
        <w:t xml:space="preserve"> </w:t>
      </w:r>
      <w:r w:rsidR="00E21627">
        <w:rPr>
          <w:rFonts w:ascii="仿宋_GB2312" w:eastAsia="仿宋_GB2312" w:hint="eastAsia"/>
          <w:sz w:val="30"/>
          <w:szCs w:val="30"/>
        </w:rPr>
        <w:t xml:space="preserve"> </w:t>
      </w:r>
      <w:r w:rsidR="00372E9D">
        <w:rPr>
          <w:rFonts w:ascii="仿宋_GB2312" w:eastAsia="仿宋_GB2312" w:hint="eastAsia"/>
          <w:sz w:val="30"/>
          <w:szCs w:val="30"/>
        </w:rPr>
        <w:t xml:space="preserve"> </w:t>
      </w:r>
    </w:p>
    <w:p w:rsidR="00960CAB" w:rsidRDefault="00960CAB" w:rsidP="00960CAB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涉外收支</w:t>
      </w:r>
      <w:r w:rsidRPr="00E00FF2">
        <w:rPr>
          <w:rFonts w:ascii="黑体" w:eastAsia="黑体" w:hint="eastAsia"/>
          <w:sz w:val="36"/>
          <w:szCs w:val="36"/>
        </w:rPr>
        <w:t>交易</w:t>
      </w:r>
      <w:r>
        <w:rPr>
          <w:rFonts w:ascii="黑体" w:eastAsia="黑体" w:hint="eastAsia"/>
          <w:sz w:val="36"/>
          <w:szCs w:val="36"/>
        </w:rPr>
        <w:t>分类与代码（2014版）相关申报事宜答疑（第四期）</w:t>
      </w:r>
    </w:p>
    <w:p w:rsidR="00960CAB" w:rsidRDefault="00960CAB" w:rsidP="00960CAB">
      <w:pPr>
        <w:jc w:val="center"/>
      </w:pPr>
    </w:p>
    <w:p w:rsidR="00960CAB" w:rsidRPr="00960CAB" w:rsidRDefault="00960CAB" w:rsidP="00960CAB">
      <w:pPr>
        <w:ind w:firstLineChars="202" w:firstLine="608"/>
        <w:jc w:val="left"/>
        <w:outlineLvl w:val="0"/>
        <w:rPr>
          <w:rFonts w:ascii="仿宋_GB2312" w:eastAsia="仿宋_GB2312"/>
          <w:b/>
          <w:sz w:val="30"/>
          <w:szCs w:val="30"/>
        </w:rPr>
      </w:pPr>
      <w:r w:rsidRPr="00960CAB">
        <w:rPr>
          <w:rFonts w:ascii="仿宋_GB2312" w:eastAsia="仿宋_GB2312" w:hint="eastAsia"/>
          <w:b/>
          <w:sz w:val="30"/>
          <w:szCs w:val="30"/>
        </w:rPr>
        <w:t>一、涉及贸易融资业务的间接申报原则</w:t>
      </w:r>
    </w:p>
    <w:p w:rsidR="00960CAB" w:rsidRPr="00960CAB" w:rsidRDefault="00960CAB" w:rsidP="00960CAB">
      <w:pPr>
        <w:ind w:firstLineChars="202" w:firstLine="606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t>依托贸易发生的贸易融资情况十分复杂，</w:t>
      </w:r>
      <w:r w:rsidR="0094665B">
        <w:rPr>
          <w:rFonts w:ascii="仿宋_GB2312" w:eastAsia="仿宋_GB2312" w:hint="eastAsia"/>
          <w:sz w:val="30"/>
          <w:szCs w:val="30"/>
        </w:rPr>
        <w:t>不但国际贸易会发生涉外融资，国内贸易同样也可能发生涉外融资。有为出口企业进行的买断性融资，也有为进口企业进行</w:t>
      </w:r>
      <w:r w:rsidRPr="00960CAB">
        <w:rPr>
          <w:rFonts w:ascii="仿宋_GB2312" w:eastAsia="仿宋_GB2312" w:hint="eastAsia"/>
          <w:sz w:val="30"/>
          <w:szCs w:val="30"/>
        </w:rPr>
        <w:t>的贷款性融资。有境内银行直接以自身名义参与的融资，也有境内银行以居间或担保名义参与的融资。有以信用证为结算方式的交易，也有保理等非信用证结算的交易。在涉及此类融资业务的国际收支间接申报时，应按照“实质重于形式”的原则，即“看穿”资金流的真实用途。</w:t>
      </w:r>
    </w:p>
    <w:p w:rsidR="00960CAB" w:rsidRPr="00960CAB" w:rsidRDefault="0013022F" w:rsidP="00960CAB">
      <w:pPr>
        <w:ind w:firstLineChars="202" w:firstLine="606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另须强调的是，贸易融资业务涉及经常项目、</w:t>
      </w:r>
      <w:r w:rsidR="00960CAB" w:rsidRPr="00960CAB">
        <w:rPr>
          <w:rFonts w:ascii="仿宋_GB2312" w:eastAsia="仿宋_GB2312" w:hint="eastAsia"/>
          <w:sz w:val="30"/>
          <w:szCs w:val="30"/>
        </w:rPr>
        <w:t>资本及金融项目相关管理规定，部分业务可能存在管理上限制。本答疑仅就相关的间接申报原则进行说明，但能否开展相关业务仍遵从相关外汇管理规定。</w:t>
      </w:r>
    </w:p>
    <w:p w:rsidR="00960CAB" w:rsidRPr="00960CAB" w:rsidRDefault="00960CAB" w:rsidP="00960CAB">
      <w:pPr>
        <w:ind w:firstLineChars="202" w:firstLine="606"/>
        <w:jc w:val="left"/>
        <w:outlineLvl w:val="0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t>（一）</w:t>
      </w:r>
      <w:r w:rsidRPr="00960CAB">
        <w:rPr>
          <w:rFonts w:ascii="仿宋_GB2312" w:eastAsia="仿宋_GB2312" w:hint="eastAsia"/>
          <w:b/>
          <w:sz w:val="30"/>
          <w:szCs w:val="30"/>
        </w:rPr>
        <w:t>国际贸易融资的申报原则</w:t>
      </w:r>
    </w:p>
    <w:p w:rsidR="00960CAB" w:rsidRPr="00960CAB" w:rsidRDefault="00960CAB" w:rsidP="00960CAB">
      <w:pPr>
        <w:ind w:firstLineChars="202" w:firstLine="606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t>在国际贸易中，如最终只发生一次跨境资金流动，原则上根据贸易性质将该笔资金申报在货物贸易相应代码下；如发生三笔跨境资金流动，原则上其中一笔应根据贸易性质申报在货物贸易相应代码下，另外两笔如借贷双方没有关联关系，则申报为822020借贷款和偿还贷款，如有关联关系，则申报为直接投资相应项下。</w:t>
      </w:r>
    </w:p>
    <w:p w:rsidR="00960CAB" w:rsidRPr="00960CAB" w:rsidRDefault="00960CAB" w:rsidP="00960CAB">
      <w:pPr>
        <w:ind w:firstLineChars="202" w:firstLine="608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b/>
          <w:sz w:val="30"/>
          <w:szCs w:val="30"/>
        </w:rPr>
        <w:lastRenderedPageBreak/>
        <w:t>例1：</w:t>
      </w:r>
      <w:r w:rsidRPr="00960CAB">
        <w:rPr>
          <w:rFonts w:ascii="仿宋_GB2312" w:eastAsia="仿宋_GB2312" w:hint="eastAsia"/>
          <w:sz w:val="30"/>
          <w:szCs w:val="30"/>
        </w:rPr>
        <w:t>基础交易为出口国际贸易，境内经办行为交易中介。即，境内出口商收到境外进口商相关单证后，通过境内经办行福费廷给境外银行，境外银行将资金汇往境内出口商。境外进口商到期还款时，将资金归还至境外银行。</w:t>
      </w:r>
    </w:p>
    <w:p w:rsidR="00960CAB" w:rsidRDefault="00057A6C" w:rsidP="00960CAB">
      <w:pPr>
        <w:jc w:val="left"/>
      </w:pPr>
      <w:r>
        <w:pict>
          <v:group id="_x0000_s1108" editas="canvas" style="width:415.3pt;height:218.85pt;mso-position-horizontal-relative:char;mso-position-vertical-relative:line" coordorigin="1800,7372" coordsize="8306,43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9" type="#_x0000_t75" style="position:absolute;left:1800;top:7372;width:8306;height:4377" o:preferrelative="f" stroked="t" strokecolor="black [3213]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left:5818;top:7667;width:1039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  <v:shape id="_x0000_s1111" type="#_x0000_t202" style="position:absolute;left:5029;top:9019;width:939;height:464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12" type="#_x0000_t32" style="position:absolute;left:1917;top:8703;width:8126;height:0" o:connectortype="straight"/>
            <v:shape id="_x0000_s1113" type="#_x0000_t202" style="position:absolute;left:2029;top:7503;width:763;height:499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</w:t>
                    </w:r>
                  </w:p>
                </w:txbxContent>
              </v:textbox>
            </v:shape>
            <v:shape id="_x0000_s1114" type="#_x0000_t202" style="position:absolute;left:2118;top:10222;width:763;height:464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</w:t>
                    </w:r>
                  </w:p>
                </w:txbxContent>
              </v:textbox>
            </v:shape>
            <v:shape id="_x0000_s1115" type="#_x0000_t202" style="position:absolute;left:3877;top:7738;width:1339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境外银行</w:t>
                    </w:r>
                  </w:p>
                </w:txbxContent>
              </v:textbox>
            </v:shape>
            <v:shape id="_x0000_s1116" type="#_x0000_t202" style="position:absolute;left:7325;top:7738;width:1653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境外进口商</w:t>
                    </w:r>
                  </w:p>
                </w:txbxContent>
              </v:textbox>
            </v:shape>
            <v:shape id="_x0000_s1117" type="#_x0000_t202" style="position:absolute;left:3819;top:9969;width:1540;height:438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境内经办行</w:t>
                    </w:r>
                  </w:p>
                </w:txbxContent>
              </v:textbox>
            </v:shape>
            <v:shape id="_x0000_s1118" type="#_x0000_t202" style="position:absolute;left:7325;top:9989;width:1653;height:465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境内出口商</w:t>
                    </w:r>
                  </w:p>
                </w:txbxContent>
              </v:textbox>
            </v:shape>
            <v:shape id="_x0000_s1119" type="#_x0000_t32" style="position:absolute;left:8152;top:8264;width:1;height:1725" o:connectortype="straight">
              <v:stroke endarrow="block"/>
            </v:shape>
            <v:shape id="_x0000_s1120" type="#_x0000_t32" style="position:absolute;left:4547;top:8264;width:3605;height:1725;flip:x y" o:connectortype="straight">
              <v:stroke endarrow="block"/>
            </v:shape>
            <v:shape id="_x0000_s1121" type="#_x0000_t32" style="position:absolute;left:4370;top:8540;width:3043;height:1390" o:connectortype="straight">
              <v:stroke dashstyle="dash" endarrow="block"/>
            </v:shape>
            <v:shape id="_x0000_s1122" type="#_x0000_t32" style="position:absolute;left:5216;top:8001;width:2109;height:1;flip:x" o:connectortype="straight">
              <v:stroke dashstyle="dash" endarrow="block"/>
            </v:shape>
            <v:shape id="_x0000_s1123" type="#_x0000_t32" style="position:absolute;left:5359;top:10188;width:1966;height:34" o:connectortype="straight">
              <v:stroke dashstyle="dash"/>
            </v:shape>
            <v:shape id="_x0000_s1124" type="#_x0000_t32" style="position:absolute;left:4547;top:8264;width:42;height:1705;flip:x y" o:connectortype="straight">
              <v:stroke dashstyle="dash"/>
            </v:shape>
            <v:shape id="_x0000_s1125" type="#_x0000_t32" style="position:absolute;left:2818;top:11372;width:1001;height:1" o:connectortype="straight">
              <v:stroke endarrow="block"/>
            </v:shape>
            <v:shape id="_x0000_s1126" type="#_x0000_t202" style="position:absolute;left:4133;top:11185;width:1515;height:4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单证转移</w:t>
                    </w:r>
                  </w:p>
                </w:txbxContent>
              </v:textbox>
            </v:shape>
            <v:shape id="_x0000_s1127" type="#_x0000_t32" style="position:absolute;left:6662;top:11373;width:1001;height:13" o:connectortype="straight">
              <v:stroke dashstyle="dash" endarrow="block"/>
            </v:shape>
            <v:shape id="_x0000_s1128" type="#_x0000_t202" style="position:absolute;left:7801;top:11185;width:1515;height:4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资金转移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0CAB" w:rsidRPr="00960CAB" w:rsidRDefault="00960CAB" w:rsidP="00960CAB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t>例1间接申报方法：</w:t>
      </w:r>
    </w:p>
    <w:tbl>
      <w:tblPr>
        <w:tblStyle w:val="a3"/>
        <w:tblW w:w="0" w:type="auto"/>
        <w:jc w:val="center"/>
        <w:tblLook w:val="04A0"/>
      </w:tblPr>
      <w:tblGrid>
        <w:gridCol w:w="1881"/>
        <w:gridCol w:w="1420"/>
        <w:gridCol w:w="1420"/>
        <w:gridCol w:w="1421"/>
        <w:gridCol w:w="1421"/>
      </w:tblGrid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申报环节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申报主体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申报代码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对方收付款人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交易附言</w:t>
            </w:r>
          </w:p>
        </w:tc>
      </w:tr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环节1：福费廷资金跨境环节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境内出口商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1货物贸易项下相关交易代码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境外进口商</w:t>
            </w:r>
            <w:r w:rsidR="0094665B">
              <w:rPr>
                <w:rStyle w:val="ab"/>
                <w:rFonts w:ascii="仿宋_GB2312" w:eastAsia="仿宋_GB2312"/>
                <w:szCs w:val="21"/>
              </w:rPr>
              <w:footnoteReference w:id="2"/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例如：跨境贸易跨境福费廷收款</w:t>
            </w:r>
          </w:p>
        </w:tc>
      </w:tr>
    </w:tbl>
    <w:p w:rsidR="00960CAB" w:rsidRPr="00960CAB" w:rsidRDefault="00960CAB" w:rsidP="00960CAB">
      <w:pPr>
        <w:ind w:firstLineChars="202" w:firstLine="608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b/>
          <w:sz w:val="30"/>
          <w:szCs w:val="30"/>
        </w:rPr>
        <w:t>例2：</w:t>
      </w:r>
      <w:r w:rsidRPr="00960CAB">
        <w:rPr>
          <w:rFonts w:ascii="仿宋_GB2312" w:eastAsia="仿宋_GB2312" w:hint="eastAsia"/>
          <w:sz w:val="30"/>
          <w:szCs w:val="30"/>
        </w:rPr>
        <w:t>基础交易涉及出口国际贸易，境内经办行为背对背交易方。即，境内出口商收到境外进口商相关单证后，福费廷给境内经办行，境内经办行再福费廷给境外银行，境内经办行将资金汇给境内出口商，境外银行将资金汇往境内经办行。境外进口商到期还款时，将资金归还至境外银行。</w:t>
      </w:r>
    </w:p>
    <w:p w:rsidR="00960CAB" w:rsidRDefault="00057A6C" w:rsidP="00960CAB">
      <w:pPr>
        <w:jc w:val="left"/>
      </w:pPr>
      <w:r>
        <w:pict>
          <v:group id="_x0000_s1087" editas="canvas" style="width:415.3pt;height:218.85pt;mso-position-horizontal-relative:char;mso-position-vertical-relative:line" coordorigin="1800,7372" coordsize="8306,4377">
            <o:lock v:ext="edit" aspectratio="t"/>
            <v:shape id="_x0000_s1088" type="#_x0000_t75" style="position:absolute;left:1800;top:7372;width:8306;height:4377" o:preferrelative="f" stroked="t" strokecolor="black [3213]">
              <v:fill o:detectmouseclick="t"/>
              <v:path o:extrusionok="t" o:connecttype="none"/>
              <o:lock v:ext="edit" text="t"/>
            </v:shape>
            <v:shape id="_x0000_s1089" type="#_x0000_t202" style="position:absolute;left:5818;top:7667;width:1039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  <v:shape id="_x0000_s1090" type="#_x0000_t202" style="position:absolute;left:4420;top:9019;width:939;height:464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  <v:shape id="_x0000_s1091" type="#_x0000_t32" style="position:absolute;left:1917;top:8703;width:8126;height:0" o:connectortype="straight"/>
            <v:shape id="_x0000_s1092" type="#_x0000_t202" style="position:absolute;left:2029;top:7503;width:763;height:499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</w:t>
                    </w:r>
                  </w:p>
                </w:txbxContent>
              </v:textbox>
            </v:shape>
            <v:shape id="_x0000_s1093" type="#_x0000_t202" style="position:absolute;left:2118;top:10222;width:763;height:464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</w:t>
                    </w:r>
                  </w:p>
                </w:txbxContent>
              </v:textbox>
            </v:shape>
            <v:shape id="_x0000_s1094" type="#_x0000_t202" style="position:absolute;left:3877;top:7738;width:1339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境外银行</w:t>
                    </w:r>
                  </w:p>
                </w:txbxContent>
              </v:textbox>
            </v:shape>
            <v:shape id="_x0000_s1095" type="#_x0000_t202" style="position:absolute;left:7325;top:7738;width:1653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境外进口商</w:t>
                    </w:r>
                  </w:p>
                </w:txbxContent>
              </v:textbox>
            </v:shape>
            <v:shape id="_x0000_s1096" type="#_x0000_t202" style="position:absolute;left:3819;top:9969;width:1540;height:438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境内经办行</w:t>
                    </w:r>
                  </w:p>
                </w:txbxContent>
              </v:textbox>
            </v:shape>
            <v:shape id="_x0000_s1097" type="#_x0000_t202" style="position:absolute;left:7325;top:9989;width:1653;height:465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境内出口商</w:t>
                    </w:r>
                  </w:p>
                </w:txbxContent>
              </v:textbox>
            </v:shape>
            <v:shape id="_x0000_s1098" type="#_x0000_t32" style="position:absolute;left:8152;top:8264;width:1;height:1725" o:connectortype="straight">
              <v:stroke endarrow="block"/>
            </v:shape>
            <v:shape id="_x0000_s1099" type="#_x0000_t32" style="position:absolute;left:5216;top:8001;width:2109;height:1;flip:x" o:connectortype="straight">
              <v:stroke dashstyle="dash" endarrow="block"/>
            </v:shape>
            <v:shape id="_x0000_s1100" type="#_x0000_t32" style="position:absolute;left:5359;top:10188;width:1966;height:34" o:connectortype="straight">
              <v:stroke dashstyle="dash" endarrow="block"/>
            </v:shape>
            <v:shape id="_x0000_s1101" type="#_x0000_t32" style="position:absolute;left:4547;top:8264;width:42;height:1705;flip:x y" o:connectortype="straight">
              <v:stroke dashstyle="dash" startarrow="block"/>
            </v:shape>
            <v:shape id="_x0000_s1102" type="#_x0000_t32" style="position:absolute;left:2818;top:11372;width:1001;height:1" o:connectortype="straight">
              <v:stroke endarrow="block"/>
            </v:shape>
            <v:shape id="_x0000_s1103" type="#_x0000_t202" style="position:absolute;left:4133;top:11185;width:1515;height:4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单证转移</w:t>
                    </w:r>
                  </w:p>
                </w:txbxContent>
              </v:textbox>
            </v:shape>
            <v:shape id="_x0000_s1104" type="#_x0000_t32" style="position:absolute;left:6662;top:11373;width:1001;height:13" o:connectortype="straight">
              <v:stroke dashstyle="dash" endarrow="block"/>
            </v:shape>
            <v:shape id="_x0000_s1105" type="#_x0000_t202" style="position:absolute;left:7801;top:11185;width:1515;height:4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资金转移</w:t>
                    </w:r>
                  </w:p>
                </w:txbxContent>
              </v:textbox>
            </v:shape>
            <v:shape id="_x0000_s1106" type="#_x0000_t32" style="position:absolute;left:5480;top:9989;width:1665;height:0;flip:x" o:connectortype="straight">
              <v:stroke endarrow="block"/>
            </v:shape>
            <v:shape id="_x0000_s1107" type="#_x0000_t32" style="position:absolute;left:4133;top:8413;width:0;height:1440;flip:y" o:connectortype="straight">
              <v:stroke endarrow="block"/>
            </v:shape>
            <w10:wrap type="none"/>
            <w10:anchorlock/>
          </v:group>
        </w:pict>
      </w:r>
    </w:p>
    <w:p w:rsidR="00960CAB" w:rsidRPr="00960CAB" w:rsidRDefault="00960CAB" w:rsidP="00960CAB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t>例2间接申报方法与例1一致：</w:t>
      </w:r>
    </w:p>
    <w:tbl>
      <w:tblPr>
        <w:tblStyle w:val="a3"/>
        <w:tblW w:w="0" w:type="auto"/>
        <w:jc w:val="center"/>
        <w:tblLook w:val="04A0"/>
      </w:tblPr>
      <w:tblGrid>
        <w:gridCol w:w="1881"/>
        <w:gridCol w:w="1420"/>
        <w:gridCol w:w="1420"/>
        <w:gridCol w:w="1421"/>
        <w:gridCol w:w="1421"/>
      </w:tblGrid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申报环节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申报主体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申报代码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对方收付款人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交易附言</w:t>
            </w:r>
          </w:p>
        </w:tc>
      </w:tr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环节1：福费廷资金跨境环节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境内出口商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1货物贸易项下相关交易代码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境外进口商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例如：跨境贸易跨境福费廷收款</w:t>
            </w:r>
          </w:p>
        </w:tc>
      </w:tr>
    </w:tbl>
    <w:p w:rsidR="00960CAB" w:rsidRPr="00960CAB" w:rsidRDefault="00960CAB" w:rsidP="00960CAB">
      <w:pPr>
        <w:ind w:firstLineChars="200" w:firstLine="602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b/>
          <w:sz w:val="30"/>
          <w:szCs w:val="30"/>
        </w:rPr>
        <w:t>例3：</w:t>
      </w:r>
      <w:r w:rsidRPr="00960CAB">
        <w:rPr>
          <w:rFonts w:ascii="仿宋_GB2312" w:eastAsia="仿宋_GB2312" w:hint="eastAsia"/>
          <w:sz w:val="30"/>
          <w:szCs w:val="30"/>
        </w:rPr>
        <w:t>基础交易涉及进口国际贸易，非居民福费廷给境内银行。例如，境外出口商收到境内进口商单证后，福费廷给境内银行，并指令境内银行将款项汇至其境内非居民账户（NRA账户）。境内进口商在单证到期后，将款项支付给境内银行。</w:t>
      </w:r>
    </w:p>
    <w:p w:rsidR="00960CAB" w:rsidRDefault="00057A6C" w:rsidP="00960CAB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</w:r>
      <w:r>
        <w:rPr>
          <w:rFonts w:ascii="仿宋_GB2312" w:eastAsia="仿宋_GB2312"/>
          <w:sz w:val="28"/>
          <w:szCs w:val="28"/>
        </w:rPr>
        <w:pict>
          <v:group id="_x0000_s1068" editas="canvas" style="width:415.3pt;height:219.7pt;mso-position-horizontal-relative:char;mso-position-vertical-relative:line" coordorigin="1800,7503" coordsize="8306,4394">
            <o:lock v:ext="edit" aspectratio="t"/>
            <v:shape id="_x0000_s1069" type="#_x0000_t75" style="position:absolute;left:1800;top:7503;width:8306;height:4394" o:preferrelative="f" stroked="t" strokecolor="black [3213]">
              <v:fill o:detectmouseclick="t"/>
              <v:path o:extrusionok="t" o:connecttype="none"/>
              <o:lock v:ext="edit" text="t"/>
            </v:shape>
            <v:shape id="_x0000_s1070" type="#_x0000_t202" style="position:absolute;left:5881;top:9306;width:1039;height:526">
              <v:textbox style="mso-next-textbox:#_x0000_s1070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  <v:shape id="_x0000_s1071" type="#_x0000_t202" style="position:absolute;left:5559;top:10304;width:939;height:464">
              <v:textbox style="mso-next-textbox:#_x0000_s1071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  <v:shape id="_x0000_s1072" type="#_x0000_t32" style="position:absolute;left:1917;top:8703;width:8126;height:0" o:connectortype="straight"/>
            <v:shape id="_x0000_s1073" type="#_x0000_t202" style="position:absolute;left:2029;top:7503;width:763;height:499">
              <v:textbox style="mso-next-textbox:#_x0000_s1073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</w:t>
                    </w:r>
                  </w:p>
                </w:txbxContent>
              </v:textbox>
            </v:shape>
            <v:shape id="_x0000_s1074" type="#_x0000_t202" style="position:absolute;left:2118;top:10222;width:763;height:464">
              <v:textbox style="mso-next-textbox:#_x0000_s1074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</w:t>
                    </w:r>
                  </w:p>
                </w:txbxContent>
              </v:textbox>
            </v:shape>
            <v:shape id="_x0000_s1075" type="#_x0000_t202" style="position:absolute;left:7325;top:7738;width:1653;height:526">
              <v:textbox style="mso-next-textbox:#_x0000_s1075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境外出口商</w:t>
                    </w:r>
                  </w:p>
                </w:txbxContent>
              </v:textbox>
            </v:shape>
            <v:shape id="_x0000_s1076" type="#_x0000_t202" style="position:absolute;left:3819;top:9445;width:1540;height:438">
              <v:textbox style="mso-next-textbox:#_x0000_s1076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境内经办行</w:t>
                    </w:r>
                  </w:p>
                </w:txbxContent>
              </v:textbox>
            </v:shape>
            <v:shape id="_x0000_s1077" type="#_x0000_t202" style="position:absolute;left:7325;top:9446;width:1653;height:465">
              <v:textbox style="mso-next-textbox:#_x0000_s1077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境内进口商</w:t>
                    </w:r>
                  </w:p>
                </w:txbxContent>
              </v:textbox>
            </v:shape>
            <v:shape id="_x0000_s1078" type="#_x0000_t32" style="position:absolute;left:8152;top:8264;width:1;height:1182" o:connectortype="straight">
              <v:stroke startarrow="block"/>
            </v:shape>
            <v:shape id="_x0000_s1079" type="#_x0000_t32" style="position:absolute;left:4589;top:8001;width:2736;height:1444;flip:x" o:connectortype="straight">
              <v:stroke endarrow="block"/>
            </v:shape>
            <v:shape id="_x0000_s1080" type="#_x0000_t32" style="position:absolute;left:5359;top:9651;width:1966;height:28" o:connectortype="straight">
              <v:stroke dashstyle="dash" startarrow="block"/>
            </v:shape>
            <v:shape id="_x0000_s1081" type="#_x0000_t32" style="position:absolute;left:4589;top:9883;width:2331;height:764;flip:x y" o:connectortype="straight">
              <v:stroke dashstyle="dash" startarrow="block"/>
            </v:shape>
            <v:shape id="_x0000_s1082" type="#_x0000_t32" style="position:absolute;left:2818;top:11619;width:1001;height:1" o:connectortype="straight">
              <v:stroke endarrow="block"/>
            </v:shape>
            <v:shape id="_x0000_s1083" type="#_x0000_t202" style="position:absolute;left:4133;top:11419;width:1515;height:426">
              <v:textbox style="mso-next-textbox:#_x0000_s1083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单证转移</w:t>
                    </w:r>
                  </w:p>
                </w:txbxContent>
              </v:textbox>
            </v:shape>
            <v:shape id="_x0000_s1084" type="#_x0000_t32" style="position:absolute;left:6662;top:11685;width:1001;height:13" o:connectortype="straight">
              <v:stroke dashstyle="dash" endarrow="block"/>
            </v:shape>
            <v:shape id="_x0000_s1085" type="#_x0000_t202" style="position:absolute;left:7801;top:11471;width:1515;height:426">
              <v:textbox style="mso-next-textbox:#_x0000_s1085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资金转移</w:t>
                    </w:r>
                  </w:p>
                </w:txbxContent>
              </v:textbox>
            </v:shape>
            <v:shape id="_x0000_s1086" type="#_x0000_t202" style="position:absolute;left:6920;top:10413;width:2216;height:467">
              <v:textbox style="mso-next-textbox:#_x0000_s1086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境外出口商</w:t>
                    </w:r>
                    <w:r>
                      <w:rPr>
                        <w:rFonts w:hint="eastAsia"/>
                      </w:rPr>
                      <w:t>NRA</w:t>
                    </w:r>
                    <w:r>
                      <w:rPr>
                        <w:rFonts w:hint="eastAsia"/>
                      </w:rPr>
                      <w:t>账户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60CAB" w:rsidRPr="00960CAB" w:rsidRDefault="00960CAB" w:rsidP="00960CAB">
      <w:pPr>
        <w:ind w:firstLineChars="202" w:firstLine="606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lastRenderedPageBreak/>
        <w:t>例3间接申报方法：</w:t>
      </w:r>
    </w:p>
    <w:tbl>
      <w:tblPr>
        <w:tblStyle w:val="a3"/>
        <w:tblW w:w="0" w:type="auto"/>
        <w:jc w:val="center"/>
        <w:tblLook w:val="04A0"/>
      </w:tblPr>
      <w:tblGrid>
        <w:gridCol w:w="1881"/>
        <w:gridCol w:w="1420"/>
        <w:gridCol w:w="1420"/>
        <w:gridCol w:w="1421"/>
        <w:gridCol w:w="1421"/>
      </w:tblGrid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申报环节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申报主体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申报代码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对方收付款人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交易附言</w:t>
            </w:r>
          </w:p>
        </w:tc>
      </w:tr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环节1：境内经办行汇款给境外出口商NRA账户</w:t>
            </w:r>
            <w:r w:rsidR="00A428A9">
              <w:rPr>
                <w:rFonts w:ascii="仿宋_GB2312" w:eastAsia="仿宋_GB2312" w:hint="eastAsia"/>
                <w:szCs w:val="21"/>
              </w:rPr>
              <w:t>（视为境内进口商支付货款）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境内进口商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1-货物贸易项下相关交易代码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境外出口商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例如：非居民跨境福费廷</w:t>
            </w:r>
          </w:p>
        </w:tc>
      </w:tr>
    </w:tbl>
    <w:p w:rsidR="00960CAB" w:rsidRDefault="00960CAB" w:rsidP="00960CAB">
      <w:pPr>
        <w:tabs>
          <w:tab w:val="num" w:pos="927"/>
        </w:tabs>
        <w:spacing w:line="360" w:lineRule="auto"/>
        <w:ind w:firstLine="600"/>
        <w:rPr>
          <w:rFonts w:ascii="仿宋_GB2312" w:eastAsia="仿宋_GB2312" w:hAnsi="宋体"/>
          <w:sz w:val="30"/>
          <w:szCs w:val="30"/>
        </w:rPr>
      </w:pPr>
      <w:r w:rsidRPr="00960CAB">
        <w:rPr>
          <w:rFonts w:ascii="仿宋_GB2312" w:eastAsia="仿宋_GB2312" w:hint="eastAsia"/>
          <w:b/>
          <w:sz w:val="30"/>
          <w:szCs w:val="30"/>
        </w:rPr>
        <w:t>例4：</w:t>
      </w:r>
      <w:r w:rsidR="00122CD8" w:rsidRPr="00122CD8">
        <w:rPr>
          <w:rFonts w:ascii="仿宋_GB2312" w:eastAsia="仿宋_GB2312" w:hAnsi="宋体" w:hint="eastAsia"/>
          <w:sz w:val="30"/>
          <w:szCs w:val="30"/>
        </w:rPr>
        <w:t>出口</w:t>
      </w:r>
      <w:r w:rsidRPr="00960CAB">
        <w:rPr>
          <w:rFonts w:ascii="仿宋_GB2312" w:eastAsia="仿宋_GB2312" w:hAnsi="宋体" w:hint="eastAsia"/>
          <w:sz w:val="30"/>
          <w:szCs w:val="30"/>
        </w:rPr>
        <w:t>海外代付</w:t>
      </w:r>
      <w:r w:rsidR="00580C34">
        <w:rPr>
          <w:rFonts w:ascii="仿宋_GB2312" w:eastAsia="仿宋_GB2312" w:hAnsi="宋体" w:hint="eastAsia"/>
          <w:sz w:val="30"/>
          <w:szCs w:val="30"/>
        </w:rPr>
        <w:t>，即</w:t>
      </w:r>
      <w:r w:rsidRPr="00960CAB">
        <w:rPr>
          <w:rFonts w:ascii="仿宋_GB2312" w:eastAsia="仿宋_GB2312" w:hAnsi="宋体" w:hint="eastAsia"/>
          <w:sz w:val="30"/>
          <w:szCs w:val="30"/>
        </w:rPr>
        <w:t>境内出口商由境内银行提供担保，从境外银行获得贷款性质的境外融资业务</w:t>
      </w:r>
      <w:r w:rsidR="00580C34">
        <w:rPr>
          <w:rFonts w:ascii="仿宋_GB2312" w:eastAsia="仿宋_GB2312" w:hAnsi="宋体" w:hint="eastAsia"/>
          <w:sz w:val="30"/>
          <w:szCs w:val="30"/>
        </w:rPr>
        <w:t>。</w:t>
      </w:r>
      <w:r w:rsidRPr="00960CAB">
        <w:rPr>
          <w:rFonts w:ascii="仿宋_GB2312" w:eastAsia="仿宋_GB2312" w:hAnsi="宋体" w:hint="eastAsia"/>
          <w:sz w:val="30"/>
          <w:szCs w:val="30"/>
        </w:rPr>
        <w:t>境内出口商应在以下环节进行国际收支统计间接申报：境外银行向境内出口商提供融资时，境内出口商应将该笔款项申报在“其他投资—负债--获得境外贷款”项下，国际收支交易编码为“822020”；境内出口商从境外进口商收回货款时，应按照该笔交易的实际性质申报在相应贸易项下；境内出口商向境外融资银行偿还款项时，应将该笔款项申报在“其他投资—负债—偿还境外贷款”项下，国际收支交易编码为“822020”。</w:t>
      </w:r>
    </w:p>
    <w:p w:rsidR="00A71A8A" w:rsidRDefault="00057A6C" w:rsidP="001A637B">
      <w:pPr>
        <w:tabs>
          <w:tab w:val="num" w:pos="927"/>
        </w:tabs>
        <w:spacing w:line="360" w:lineRule="auto"/>
      </w:pPr>
      <w:r>
        <w:pict>
          <v:group id="_x0000_s1151" editas="canvas" style="width:415.3pt;height:218.85pt;mso-position-horizontal-relative:char;mso-position-vertical-relative:line" coordorigin="1800,7372" coordsize="8306,4377">
            <o:lock v:ext="edit" aspectratio="t"/>
            <v:shape id="_x0000_s1152" type="#_x0000_t75" style="position:absolute;left:1800;top:7372;width:8306;height:4377" o:preferrelative="f" stroked="t" strokecolor="black [3213]">
              <v:fill o:detectmouseclick="t"/>
              <v:path o:extrusionok="t" o:connecttype="none"/>
              <o:lock v:ext="edit" text="t"/>
            </v:shape>
            <v:shape id="_x0000_s1153" type="#_x0000_t202" style="position:absolute;left:6598;top:8687;width:946;height:438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3</w:t>
                    </w:r>
                  </w:p>
                </w:txbxContent>
              </v:textbox>
            </v:shape>
            <v:shape id="_x0000_s1154" type="#_x0000_t202" style="position:absolute;left:5053;top:8959;width:981;height:494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  <v:shape id="_x0000_s1155" type="#_x0000_t32" style="position:absolute;left:1917;top:8703;width:8126;height:0" o:connectortype="straight"/>
            <v:shape id="_x0000_s1156" type="#_x0000_t202" style="position:absolute;left:2029;top:7503;width:763;height:499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境外</w:t>
                    </w:r>
                  </w:p>
                </w:txbxContent>
              </v:textbox>
            </v:shape>
            <v:shape id="_x0000_s1157" type="#_x0000_t202" style="position:absolute;left:2118;top:10222;width:763;height:464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境内</w:t>
                    </w:r>
                  </w:p>
                </w:txbxContent>
              </v:textbox>
            </v:shape>
            <v:shape id="_x0000_s1158" type="#_x0000_t202" style="position:absolute;left:3877;top:7738;width:1339;height:526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境外银行</w:t>
                    </w:r>
                  </w:p>
                </w:txbxContent>
              </v:textbox>
            </v:shape>
            <v:shape id="_x0000_s1159" type="#_x0000_t202" style="position:absolute;left:7325;top:7738;width:1653;height:526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境外进口商</w:t>
                    </w:r>
                  </w:p>
                </w:txbxContent>
              </v:textbox>
            </v:shape>
            <v:shape id="_x0000_s1160" type="#_x0000_t202" style="position:absolute;left:3819;top:9969;width:1540;height:438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境内经办行</w:t>
                    </w:r>
                  </w:p>
                </w:txbxContent>
              </v:textbox>
            </v:shape>
            <v:shape id="_x0000_s1161" type="#_x0000_t202" style="position:absolute;left:7325;top:9989;width:1653;height:465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境内出口商</w:t>
                    </w:r>
                  </w:p>
                </w:txbxContent>
              </v:textbox>
            </v:shape>
            <v:shape id="_x0000_s1162" type="#_x0000_t32" style="position:absolute;left:8152;top:8264;width:1;height:1725" o:connectortype="straight">
              <v:stroke dashstyle="dash" endarrow="block"/>
            </v:shape>
            <v:shape id="_x0000_s1164" type="#_x0000_t32" style="position:absolute;left:5359;top:10188;width:1966;height:34" o:connectortype="straight">
              <v:stroke dashstyle="dash"/>
            </v:shape>
            <v:shape id="_x0000_s1165" type="#_x0000_t32" style="position:absolute;left:4547;top:8264;width:3116;height:1591;flip:x y" o:connectortype="straight">
              <v:stroke dashstyle="dash" startarrow="block"/>
            </v:shape>
            <v:shape id="_x0000_s1166" type="#_x0000_t32" style="position:absolute;left:2818;top:11372;width:1001;height:1" o:connectortype="straight">
              <v:stroke endarrow="block"/>
            </v:shape>
            <v:shape id="_x0000_s1167" type="#_x0000_t202" style="position:absolute;left:4133;top:11185;width:1515;height:426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单证转移</w:t>
                    </w:r>
                  </w:p>
                </w:txbxContent>
              </v:textbox>
            </v:shape>
            <v:shape id="_x0000_s1168" type="#_x0000_t32" style="position:absolute;left:6662;top:11373;width:1001;height:13" o:connectortype="straight">
              <v:stroke dashstyle="dash" endarrow="block"/>
            </v:shape>
            <v:shape id="_x0000_s1169" type="#_x0000_t202" style="position:absolute;left:7801;top:11185;width:1515;height:426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资金转移</w:t>
                    </w:r>
                  </w:p>
                </w:txbxContent>
              </v:textbox>
            </v:shape>
            <v:shape id="_x0000_s1172" type="#_x0000_t202" style="position:absolute;left:8095;top:8989;width:939;height:464">
              <v:textbox>
                <w:txbxContent>
                  <w:p w:rsidR="00A71A8A" w:rsidRDefault="00A71A8A" w:rsidP="00580C34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  <v:shape id="_x0000_s1173" type="#_x0000_t32" style="position:absolute;left:5053;top:8369;width:3099;height:1620;flip:x y" o:connectortype="straight">
              <v:stroke dashstyle="dash" endarrow="block"/>
            </v:shape>
            <v:shape id="_x0000_s1175" type="#_x0000_t32" style="position:absolute;left:4452;top:8369;width:1;height:1486" o:connectortype="straight">
              <v:stroke dashstyle="dash"/>
            </v:shape>
            <w10:wrap type="none"/>
            <w10:anchorlock/>
          </v:group>
        </w:pict>
      </w:r>
    </w:p>
    <w:p w:rsidR="001A637B" w:rsidRDefault="001A637B" w:rsidP="00E074FE">
      <w:pPr>
        <w:ind w:firstLineChars="202" w:firstLine="606"/>
        <w:jc w:val="left"/>
        <w:rPr>
          <w:rFonts w:ascii="仿宋_GB2312" w:eastAsia="仿宋_GB2312"/>
          <w:sz w:val="30"/>
          <w:szCs w:val="30"/>
        </w:rPr>
      </w:pPr>
    </w:p>
    <w:p w:rsidR="00E074FE" w:rsidRPr="00960CAB" w:rsidRDefault="00E074FE" w:rsidP="00E074FE">
      <w:pPr>
        <w:ind w:firstLineChars="202" w:firstLine="606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lastRenderedPageBreak/>
        <w:t>例</w:t>
      </w:r>
      <w:r>
        <w:rPr>
          <w:rFonts w:ascii="仿宋_GB2312" w:eastAsia="仿宋_GB2312" w:hint="eastAsia"/>
          <w:sz w:val="30"/>
          <w:szCs w:val="30"/>
        </w:rPr>
        <w:t>4</w:t>
      </w:r>
      <w:r w:rsidRPr="00960CAB">
        <w:rPr>
          <w:rFonts w:ascii="仿宋_GB2312" w:eastAsia="仿宋_GB2312" w:hint="eastAsia"/>
          <w:sz w:val="30"/>
          <w:szCs w:val="30"/>
        </w:rPr>
        <w:t>间接申报方法：</w:t>
      </w:r>
    </w:p>
    <w:tbl>
      <w:tblPr>
        <w:tblStyle w:val="a3"/>
        <w:tblW w:w="0" w:type="auto"/>
        <w:jc w:val="center"/>
        <w:tblLook w:val="04A0"/>
      </w:tblPr>
      <w:tblGrid>
        <w:gridCol w:w="1881"/>
        <w:gridCol w:w="1420"/>
        <w:gridCol w:w="1420"/>
        <w:gridCol w:w="1421"/>
        <w:gridCol w:w="1421"/>
      </w:tblGrid>
      <w:tr w:rsidR="00E074FE" w:rsidRPr="00960CAB" w:rsidTr="0036687E">
        <w:trPr>
          <w:jc w:val="center"/>
        </w:trPr>
        <w:tc>
          <w:tcPr>
            <w:tcW w:w="188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申报环节</w:t>
            </w:r>
          </w:p>
        </w:tc>
        <w:tc>
          <w:tcPr>
            <w:tcW w:w="1420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申报主体</w:t>
            </w:r>
          </w:p>
        </w:tc>
        <w:tc>
          <w:tcPr>
            <w:tcW w:w="1420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申报代码</w:t>
            </w:r>
          </w:p>
        </w:tc>
        <w:tc>
          <w:tcPr>
            <w:tcW w:w="142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对方收付款人</w:t>
            </w:r>
          </w:p>
        </w:tc>
        <w:tc>
          <w:tcPr>
            <w:tcW w:w="142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交易附言</w:t>
            </w:r>
          </w:p>
        </w:tc>
      </w:tr>
      <w:tr w:rsidR="00E074FE" w:rsidRPr="00960CAB" w:rsidTr="0036687E">
        <w:trPr>
          <w:jc w:val="center"/>
        </w:trPr>
        <w:tc>
          <w:tcPr>
            <w:tcW w:w="188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环节1：境内</w:t>
            </w:r>
            <w:r w:rsidR="00580C34">
              <w:rPr>
                <w:rFonts w:ascii="仿宋_GB2312" w:eastAsia="仿宋_GB2312" w:hint="eastAsia"/>
                <w:szCs w:val="21"/>
              </w:rPr>
              <w:t>出口商收到</w:t>
            </w:r>
            <w:r w:rsidRPr="00960CAB">
              <w:rPr>
                <w:rFonts w:ascii="仿宋_GB2312" w:eastAsia="仿宋_GB2312" w:hint="eastAsia"/>
                <w:szCs w:val="21"/>
              </w:rPr>
              <w:t>境外</w:t>
            </w:r>
            <w:r w:rsidR="00580C34">
              <w:rPr>
                <w:rFonts w:ascii="仿宋_GB2312" w:eastAsia="仿宋_GB2312" w:hint="eastAsia"/>
                <w:szCs w:val="21"/>
              </w:rPr>
              <w:t>银行融资资金</w:t>
            </w:r>
          </w:p>
        </w:tc>
        <w:tc>
          <w:tcPr>
            <w:tcW w:w="1420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境内出</w:t>
            </w:r>
            <w:r w:rsidR="00E074FE" w:rsidRPr="00960CAB">
              <w:rPr>
                <w:rFonts w:ascii="仿宋_GB2312" w:eastAsia="仿宋_GB2312" w:hint="eastAsia"/>
                <w:szCs w:val="21"/>
              </w:rPr>
              <w:t>口商</w:t>
            </w:r>
          </w:p>
        </w:tc>
        <w:tc>
          <w:tcPr>
            <w:tcW w:w="1420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822020</w:t>
            </w:r>
          </w:p>
        </w:tc>
        <w:tc>
          <w:tcPr>
            <w:tcW w:w="1421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境外银行</w:t>
            </w:r>
          </w:p>
        </w:tc>
        <w:tc>
          <w:tcPr>
            <w:tcW w:w="142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074FE" w:rsidRPr="00960CAB" w:rsidTr="0036687E">
        <w:trPr>
          <w:jc w:val="center"/>
        </w:trPr>
        <w:tc>
          <w:tcPr>
            <w:tcW w:w="188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</w:t>
            </w:r>
            <w:r>
              <w:rPr>
                <w:rFonts w:ascii="仿宋_GB2312" w:eastAsia="仿宋_GB2312" w:hint="eastAsia"/>
                <w:szCs w:val="21"/>
              </w:rPr>
              <w:t>2：</w:t>
            </w:r>
            <w:r w:rsidR="00580C34">
              <w:rPr>
                <w:rFonts w:ascii="仿宋_GB2312" w:eastAsia="仿宋_GB2312" w:hint="eastAsia"/>
                <w:szCs w:val="21"/>
              </w:rPr>
              <w:t>境内出口商收到境外进口商货款</w:t>
            </w:r>
          </w:p>
        </w:tc>
        <w:tc>
          <w:tcPr>
            <w:tcW w:w="1420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境内出</w:t>
            </w:r>
            <w:r w:rsidRPr="00960CAB">
              <w:rPr>
                <w:rFonts w:ascii="仿宋_GB2312" w:eastAsia="仿宋_GB2312" w:hint="eastAsia"/>
                <w:szCs w:val="21"/>
              </w:rPr>
              <w:t>口商</w:t>
            </w:r>
          </w:p>
        </w:tc>
        <w:tc>
          <w:tcPr>
            <w:tcW w:w="1420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货物贸易项下相关交易代码</w:t>
            </w:r>
          </w:p>
        </w:tc>
        <w:tc>
          <w:tcPr>
            <w:tcW w:w="1421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境外进口商</w:t>
            </w:r>
          </w:p>
        </w:tc>
        <w:tc>
          <w:tcPr>
            <w:tcW w:w="142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074FE" w:rsidRPr="00960CAB" w:rsidTr="0036687E">
        <w:trPr>
          <w:jc w:val="center"/>
        </w:trPr>
        <w:tc>
          <w:tcPr>
            <w:tcW w:w="188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环节3：</w:t>
            </w:r>
            <w:r w:rsidR="00580C34" w:rsidRPr="00580C34">
              <w:rPr>
                <w:rFonts w:ascii="仿宋_GB2312" w:eastAsia="仿宋_GB2312" w:hint="eastAsia"/>
                <w:szCs w:val="21"/>
              </w:rPr>
              <w:t>境内出口商向境外融资银行偿还款项</w:t>
            </w:r>
          </w:p>
        </w:tc>
        <w:tc>
          <w:tcPr>
            <w:tcW w:w="1420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境内出</w:t>
            </w:r>
            <w:r w:rsidRPr="00960CAB">
              <w:rPr>
                <w:rFonts w:ascii="仿宋_GB2312" w:eastAsia="仿宋_GB2312" w:hint="eastAsia"/>
                <w:szCs w:val="21"/>
              </w:rPr>
              <w:t>口商</w:t>
            </w:r>
          </w:p>
        </w:tc>
        <w:tc>
          <w:tcPr>
            <w:tcW w:w="1420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822020</w:t>
            </w:r>
          </w:p>
        </w:tc>
        <w:tc>
          <w:tcPr>
            <w:tcW w:w="1421" w:type="dxa"/>
            <w:vAlign w:val="center"/>
          </w:tcPr>
          <w:p w:rsidR="00E074FE" w:rsidRPr="00960CAB" w:rsidRDefault="00580C34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境外银行</w:t>
            </w:r>
          </w:p>
        </w:tc>
        <w:tc>
          <w:tcPr>
            <w:tcW w:w="1421" w:type="dxa"/>
            <w:vAlign w:val="center"/>
          </w:tcPr>
          <w:p w:rsidR="00E074FE" w:rsidRPr="00960CAB" w:rsidRDefault="00E074FE" w:rsidP="0036687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E074FE" w:rsidRPr="001A637B" w:rsidRDefault="00E074FE" w:rsidP="00960CAB">
      <w:pPr>
        <w:tabs>
          <w:tab w:val="num" w:pos="927"/>
        </w:tabs>
        <w:spacing w:line="360" w:lineRule="auto"/>
        <w:ind w:firstLine="600"/>
        <w:rPr>
          <w:rFonts w:ascii="仿宋_GB2312" w:eastAsia="仿宋_GB2312"/>
          <w:b/>
          <w:sz w:val="10"/>
          <w:szCs w:val="10"/>
        </w:rPr>
      </w:pPr>
    </w:p>
    <w:p w:rsidR="00960CAB" w:rsidRPr="00960CAB" w:rsidRDefault="00960CAB" w:rsidP="00960CAB">
      <w:pPr>
        <w:ind w:firstLineChars="202" w:firstLine="608"/>
        <w:jc w:val="left"/>
        <w:outlineLvl w:val="0"/>
        <w:rPr>
          <w:rFonts w:ascii="仿宋_GB2312" w:eastAsia="仿宋_GB2312"/>
          <w:b/>
          <w:sz w:val="30"/>
          <w:szCs w:val="30"/>
        </w:rPr>
      </w:pPr>
      <w:r w:rsidRPr="00960CAB">
        <w:rPr>
          <w:rFonts w:ascii="仿宋_GB2312" w:eastAsia="仿宋_GB2312" w:hint="eastAsia"/>
          <w:b/>
          <w:sz w:val="30"/>
          <w:szCs w:val="30"/>
        </w:rPr>
        <w:t>（二）国内贸易融资的申报原则</w:t>
      </w:r>
    </w:p>
    <w:p w:rsidR="00960CAB" w:rsidRPr="00960CAB" w:rsidRDefault="00960CAB" w:rsidP="00960CAB">
      <w:pPr>
        <w:ind w:firstLineChars="202" w:firstLine="606"/>
        <w:jc w:val="left"/>
        <w:rPr>
          <w:rFonts w:ascii="仿宋_GB2312" w:eastAsia="仿宋_GB2312"/>
          <w:b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t>在国内贸易中，如发生跨境融资，则视为贷款。原则上，如借贷双方没有关联关系，则将跨境资金申报在822020借贷款和偿还贷款项下；如有关联关系，则申报为直接投资相应项下。</w:t>
      </w:r>
    </w:p>
    <w:p w:rsidR="00960CAB" w:rsidRPr="00960CAB" w:rsidRDefault="00960CAB" w:rsidP="00960CAB">
      <w:pPr>
        <w:ind w:firstLineChars="202" w:firstLine="608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b/>
          <w:sz w:val="30"/>
          <w:szCs w:val="30"/>
        </w:rPr>
        <w:t>例5：</w:t>
      </w:r>
      <w:r w:rsidRPr="00960CAB">
        <w:rPr>
          <w:rFonts w:ascii="仿宋_GB2312" w:eastAsia="仿宋_GB2312" w:hint="eastAsia"/>
          <w:sz w:val="30"/>
          <w:szCs w:val="30"/>
        </w:rPr>
        <w:t>基础交易涉及国内贸易，境内经办行为交易中介。即境内卖方将相关单证通过境内经办行福费廷给境外银行，境外银行将资金汇给境内卖方，境内买方在单证到期后支付货款给境外银行。</w:t>
      </w:r>
    </w:p>
    <w:p w:rsidR="00960CAB" w:rsidRDefault="00057A6C" w:rsidP="00960CAB">
      <w:pPr>
        <w:jc w:val="left"/>
      </w:pPr>
      <w:r>
        <w:pict>
          <v:group id="_x0000_s1047" editas="canvas" style="width:415.3pt;height:211.95pt;mso-position-horizontal-relative:char;mso-position-vertical-relative:line" coordorigin="1800,7372" coordsize="8306,4239">
            <o:lock v:ext="edit" aspectratio="t"/>
            <v:shape id="_x0000_s1048" type="#_x0000_t75" style="position:absolute;left:1800;top:7372;width:8306;height:4239" o:preferrelative="f" stroked="t" strokecolor="black [3213]">
              <v:fill o:detectmouseclick="t"/>
              <v:path o:extrusionok="t" o:connecttype="none"/>
              <o:lock v:ext="edit" text="t"/>
            </v:shape>
            <v:shape id="_x0000_s1049" type="#_x0000_t202" style="position:absolute;left:7483;top:8957;width:1039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  <v:shape id="_x0000_s1050" type="#_x0000_t202" style="position:absolute;left:5029;top:9019;width:939;height:464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  <v:shape id="_x0000_s1051" type="#_x0000_t32" style="position:absolute;left:1917;top:8703;width:8126;height:0" o:connectortype="straight"/>
            <v:shape id="_x0000_s1052" type="#_x0000_t202" style="position:absolute;left:2029;top:7503;width:763;height:499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</w:t>
                    </w:r>
                  </w:p>
                </w:txbxContent>
              </v:textbox>
            </v:shape>
            <v:shape id="_x0000_s1053" type="#_x0000_t202" style="position:absolute;left:2118;top:10222;width:763;height:464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</w:t>
                    </w:r>
                  </w:p>
                </w:txbxContent>
              </v:textbox>
            </v:shape>
            <v:shape id="_x0000_s1054" type="#_x0000_t202" style="position:absolute;left:3877;top:7738;width:1339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境外银行</w:t>
                    </w:r>
                  </w:p>
                </w:txbxContent>
              </v:textbox>
            </v:shape>
            <v:shape id="_x0000_s1055" type="#_x0000_t202" style="position:absolute;left:8239;top:9969;width:1653;height:5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境内买方</w:t>
                    </w:r>
                  </w:p>
                </w:txbxContent>
              </v:textbox>
            </v:shape>
            <v:shape id="_x0000_s1056" type="#_x0000_t202" style="position:absolute;left:3819;top:9969;width:1540;height:438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境内经办行</w:t>
                    </w:r>
                  </w:p>
                </w:txbxContent>
              </v:textbox>
            </v:shape>
            <v:shape id="_x0000_s1057" type="#_x0000_t202" style="position:absolute;left:6085;top:9989;width:1653;height:465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境内卖方</w:t>
                    </w:r>
                  </w:p>
                </w:txbxContent>
              </v:textbox>
            </v:shape>
            <v:shape id="_x0000_s1058" type="#_x0000_t32" style="position:absolute;left:4547;top:8264;width:2365;height:1725;flip:x y" o:connectortype="straight">
              <v:stroke endarrow="block"/>
            </v:shape>
            <v:shape id="_x0000_s1059" type="#_x0000_t32" style="position:absolute;left:4133;top:8360;width:2236;height:1570" o:connectortype="straight">
              <v:stroke dashstyle="dash" endarrow="block"/>
            </v:shape>
            <v:shape id="_x0000_s1060" type="#_x0000_t32" style="position:absolute;left:5216;top:8001;width:3850;height:1968;flip:x y" o:connectortype="straight">
              <v:stroke dashstyle="dash" endarrow="block"/>
            </v:shape>
            <v:shape id="_x0000_s1061" type="#_x0000_t32" style="position:absolute;left:5359;top:10188;width:726;height:34" o:connectortype="straight">
              <v:stroke dashstyle="dash"/>
            </v:shape>
            <v:shape id="_x0000_s1062" type="#_x0000_t32" style="position:absolute;left:4547;top:8264;width:42;height:1705;flip:x y" o:connectortype="straight">
              <v:stroke dashstyle="dash"/>
            </v:shape>
            <v:shape id="_x0000_s1063" type="#_x0000_t32" style="position:absolute;left:2818;top:11372;width:1001;height:1" o:connectortype="straight">
              <v:stroke endarrow="block"/>
            </v:shape>
            <v:shape id="_x0000_s1064" type="#_x0000_t202" style="position:absolute;left:4133;top:11185;width:1515;height:4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单证转移</w:t>
                    </w:r>
                  </w:p>
                </w:txbxContent>
              </v:textbox>
            </v:shape>
            <v:shape id="_x0000_s1065" type="#_x0000_t32" style="position:absolute;left:6662;top:11373;width:1001;height:13" o:connectortype="straight">
              <v:stroke dashstyle="dash" endarrow="block"/>
            </v:shape>
            <v:shape id="_x0000_s1066" type="#_x0000_t202" style="position:absolute;left:7801;top:11185;width:1515;height:426">
              <v:textbox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资金转移</w:t>
                    </w:r>
                  </w:p>
                </w:txbxContent>
              </v:textbox>
            </v:shape>
            <v:shape id="_x0000_s1067" type="#_x0000_t32" style="position:absolute;left:7738;top:10222;width:501;height:10;flip:x y" o:connectortype="straight">
              <v:stroke endarrow="block"/>
            </v:shape>
            <w10:wrap type="none"/>
            <w10:anchorlock/>
          </v:group>
        </w:pict>
      </w:r>
    </w:p>
    <w:p w:rsidR="00960CAB" w:rsidRPr="00960CAB" w:rsidRDefault="00960CAB" w:rsidP="00960CAB">
      <w:pPr>
        <w:ind w:firstLineChars="202" w:firstLine="606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lastRenderedPageBreak/>
        <w:t>例5间接申报方法：</w:t>
      </w:r>
    </w:p>
    <w:tbl>
      <w:tblPr>
        <w:tblStyle w:val="a3"/>
        <w:tblW w:w="0" w:type="auto"/>
        <w:jc w:val="center"/>
        <w:tblLook w:val="04A0"/>
      </w:tblPr>
      <w:tblGrid>
        <w:gridCol w:w="1881"/>
        <w:gridCol w:w="1420"/>
        <w:gridCol w:w="1420"/>
        <w:gridCol w:w="1421"/>
        <w:gridCol w:w="1421"/>
      </w:tblGrid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申报环节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申报主体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申报代码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对方收付款人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交易附言</w:t>
            </w:r>
          </w:p>
        </w:tc>
      </w:tr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环节1：境外银行汇款至境内卖方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境内卖方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822020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境外银行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例如：国内贸易跨境福费廷收款</w:t>
            </w:r>
          </w:p>
        </w:tc>
      </w:tr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环节2：境内买方汇款给境外银行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境内买方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822020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境外银行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例如：国内贸易跨境福费廷还款</w:t>
            </w:r>
          </w:p>
        </w:tc>
      </w:tr>
    </w:tbl>
    <w:p w:rsidR="00960CAB" w:rsidRPr="00960CAB" w:rsidRDefault="00960CAB" w:rsidP="00960CAB">
      <w:pPr>
        <w:ind w:firstLineChars="202" w:firstLine="608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b/>
          <w:sz w:val="30"/>
          <w:szCs w:val="30"/>
        </w:rPr>
        <w:t>例6：</w:t>
      </w:r>
      <w:r w:rsidRPr="00960CAB">
        <w:rPr>
          <w:rFonts w:ascii="仿宋_GB2312" w:eastAsia="仿宋_GB2312" w:hint="eastAsia"/>
          <w:sz w:val="30"/>
          <w:szCs w:val="30"/>
        </w:rPr>
        <w:t>基础交易涉及国内贸易，境内经办行为背对背交易方。即境内卖方将相关单证福费廷给境内经办行，境内经办行再福费廷给境外银行，境内经办行将资金汇给境内卖方，境外银行将资金汇给境内经办行。境内买方在单证到期后支付货款给境外银行。</w:t>
      </w:r>
    </w:p>
    <w:p w:rsidR="00960CAB" w:rsidRDefault="00057A6C" w:rsidP="00960CAB">
      <w:pPr>
        <w:jc w:val="left"/>
      </w:pPr>
      <w:r>
        <w:pict>
          <v:group id="_x0000_s1026" editas="canvas" style="width:404.6pt;height:205.4pt;mso-position-horizontal-relative:char;mso-position-vertical-relative:line" coordorigin="1800,7503" coordsize="8092,4108">
            <o:lock v:ext="edit" aspectratio="t"/>
            <v:shape id="_x0000_s1027" type="#_x0000_t75" style="position:absolute;left:1800;top:7503;width:8092;height:4108" o:preferrelative="f" stroked="t" strokecolor="black [3213]">
              <v:fill o:detectmouseclick="t"/>
              <v:path o:extrusionok="t" o:connecttype="none"/>
              <o:lock v:ext="edit" text="t"/>
            </v:shape>
            <v:shape id="_x0000_s1028" type="#_x0000_t202" style="position:absolute;left:7483;top:8957;width:1039;height:526">
              <v:textbox style="mso-next-textbox:#_x0000_s1028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2</w:t>
                    </w:r>
                  </w:p>
                </w:txbxContent>
              </v:textbox>
            </v:shape>
            <v:shape id="_x0000_s1029" type="#_x0000_t202" style="position:absolute;left:4528;top:9019;width:939;height:464">
              <v:textbox style="mso-next-textbox:#_x0000_s1029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环节</w:t>
                    </w:r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shape>
            <v:shape id="_x0000_s1030" type="#_x0000_t32" style="position:absolute;left:1917;top:8703;width:8126;height:0" o:connectortype="straight"/>
            <v:shape id="_x0000_s1031" type="#_x0000_t202" style="position:absolute;left:2029;top:7503;width:763;height:499">
              <v:textbox style="mso-next-textbox:#_x0000_s1031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</w:t>
                    </w:r>
                  </w:p>
                </w:txbxContent>
              </v:textbox>
            </v:shape>
            <v:shape id="_x0000_s1032" type="#_x0000_t202" style="position:absolute;left:2118;top:10222;width:763;height:464">
              <v:textbox style="mso-next-textbox:#_x0000_s1032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</w:t>
                    </w:r>
                  </w:p>
                </w:txbxContent>
              </v:textbox>
            </v:shape>
            <v:shape id="_x0000_s1033" type="#_x0000_t202" style="position:absolute;left:3877;top:7738;width:1339;height:526">
              <v:textbox style="mso-next-textbox:#_x0000_s1033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境外银行</w:t>
                    </w:r>
                  </w:p>
                </w:txbxContent>
              </v:textbox>
            </v:shape>
            <v:shape id="_x0000_s1034" type="#_x0000_t202" style="position:absolute;left:8239;top:9969;width:1653;height:526">
              <v:textbox style="mso-next-textbox:#_x0000_s1034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境内买方</w:t>
                    </w:r>
                  </w:p>
                </w:txbxContent>
              </v:textbox>
            </v:shape>
            <v:shape id="_x0000_s1035" type="#_x0000_t202" style="position:absolute;left:3819;top:9995;width:1540;height:438">
              <v:textbox style="mso-next-textbox:#_x0000_s1035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境内经办行</w:t>
                    </w:r>
                  </w:p>
                </w:txbxContent>
              </v:textbox>
            </v:shape>
            <v:shape id="_x0000_s1036" type="#_x0000_t202" style="position:absolute;left:6085;top:9989;width:1653;height:465">
              <v:textbox style="mso-next-textbox:#_x0000_s1036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境内卖方</w:t>
                    </w:r>
                  </w:p>
                </w:txbxContent>
              </v:textbox>
            </v:shape>
            <v:shape id="_x0000_s1037" type="#_x0000_t32" style="position:absolute;left:5216;top:8001;width:3850;height:1968;flip:x y" o:connectortype="straight">
              <v:stroke dashstyle="dash" endarrow="block"/>
            </v:shape>
            <v:shape id="_x0000_s1038" type="#_x0000_t32" style="position:absolute;left:5359;top:10214;width:726;height:8" o:connectortype="straight">
              <v:stroke dashstyle="dash" endarrow="block"/>
            </v:shape>
            <v:shape id="_x0000_s1039" type="#_x0000_t32" style="position:absolute;left:4547;top:8264;width:42;height:1731;flip:x y" o:connectortype="straight">
              <v:stroke dashstyle="dash" startarrow="block"/>
            </v:shape>
            <v:shape id="_x0000_s1040" type="#_x0000_t32" style="position:absolute;left:2818;top:11372;width:1001;height:1" o:connectortype="straight">
              <v:stroke endarrow="block"/>
            </v:shape>
            <v:shape id="_x0000_s1041" type="#_x0000_t202" style="position:absolute;left:4133;top:11185;width:1515;height:426">
              <v:textbox style="mso-next-textbox:#_x0000_s1041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单证转移</w:t>
                    </w:r>
                  </w:p>
                </w:txbxContent>
              </v:textbox>
            </v:shape>
            <v:shape id="_x0000_s1042" type="#_x0000_t32" style="position:absolute;left:6662;top:11373;width:1001;height:13" o:connectortype="straight">
              <v:stroke dashstyle="dash" endarrow="block"/>
            </v:shape>
            <v:shape id="_x0000_s1043" type="#_x0000_t202" style="position:absolute;left:7801;top:11185;width:1515;height:426">
              <v:textbox style="mso-next-textbox:#_x0000_s1043">
                <w:txbxContent>
                  <w:p w:rsidR="00960CAB" w:rsidRDefault="00960CAB" w:rsidP="00960CAB">
                    <w:r>
                      <w:rPr>
                        <w:rFonts w:hint="eastAsia"/>
                      </w:rPr>
                      <w:t>资金转移</w:t>
                    </w:r>
                  </w:p>
                </w:txbxContent>
              </v:textbox>
            </v:shape>
            <v:shape id="_x0000_s1044" type="#_x0000_t32" style="position:absolute;left:7738;top:10222;width:501;height:10;flip:x y" o:connectortype="straight">
              <v:stroke endarrow="block"/>
            </v:shape>
            <v:shape id="_x0000_s1045" type="#_x0000_t32" style="position:absolute;left:5467;top:10078;width:501;height:13;flip:x" o:connectortype="straight">
              <v:stroke endarrow="block"/>
            </v:shape>
            <v:shape id="_x0000_s1046" type="#_x0000_t32" style="position:absolute;left:4133;top:8450;width:0;height:1403;flip:y" o:connectortype="straight">
              <v:stroke endarrow="block"/>
            </v:shape>
            <w10:wrap type="none"/>
            <w10:anchorlock/>
          </v:group>
        </w:pict>
      </w:r>
    </w:p>
    <w:p w:rsidR="00960CAB" w:rsidRPr="00960CAB" w:rsidRDefault="00960CAB" w:rsidP="00960CAB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960CAB">
        <w:rPr>
          <w:rFonts w:ascii="仿宋_GB2312" w:eastAsia="仿宋_GB2312" w:hint="eastAsia"/>
          <w:sz w:val="30"/>
          <w:szCs w:val="30"/>
        </w:rPr>
        <w:t>例6间接申报方法：</w:t>
      </w:r>
    </w:p>
    <w:tbl>
      <w:tblPr>
        <w:tblStyle w:val="a3"/>
        <w:tblW w:w="0" w:type="auto"/>
        <w:jc w:val="center"/>
        <w:tblLook w:val="04A0"/>
      </w:tblPr>
      <w:tblGrid>
        <w:gridCol w:w="1881"/>
        <w:gridCol w:w="1420"/>
        <w:gridCol w:w="1420"/>
        <w:gridCol w:w="1421"/>
        <w:gridCol w:w="1421"/>
      </w:tblGrid>
      <w:tr w:rsidR="00960CAB" w:rsidRPr="00960CAB" w:rsidTr="002814DB">
        <w:trPr>
          <w:jc w:val="center"/>
        </w:trPr>
        <w:tc>
          <w:tcPr>
            <w:tcW w:w="188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申报环节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申报主体</w:t>
            </w:r>
          </w:p>
        </w:tc>
        <w:tc>
          <w:tcPr>
            <w:tcW w:w="1420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申报代码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对方收付款人</w:t>
            </w:r>
          </w:p>
        </w:tc>
        <w:tc>
          <w:tcPr>
            <w:tcW w:w="1421" w:type="dxa"/>
            <w:vAlign w:val="center"/>
          </w:tcPr>
          <w:p w:rsidR="00960CAB" w:rsidRPr="00960CAB" w:rsidRDefault="00960CAB" w:rsidP="002814D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960CAB">
              <w:rPr>
                <w:rFonts w:ascii="仿宋_GB2312" w:eastAsia="仿宋_GB2312" w:hint="eastAsia"/>
                <w:b/>
                <w:szCs w:val="21"/>
              </w:rPr>
              <w:t>交易附言</w:t>
            </w:r>
          </w:p>
        </w:tc>
      </w:tr>
      <w:tr w:rsidR="00A428A9" w:rsidRPr="00960CAB" w:rsidTr="002814DB">
        <w:trPr>
          <w:jc w:val="center"/>
        </w:trPr>
        <w:tc>
          <w:tcPr>
            <w:tcW w:w="1881" w:type="dxa"/>
            <w:vAlign w:val="center"/>
          </w:tcPr>
          <w:p w:rsidR="00A428A9" w:rsidRPr="00960CAB" w:rsidRDefault="00A428A9" w:rsidP="001A637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</w:t>
            </w:r>
            <w:r>
              <w:rPr>
                <w:rFonts w:ascii="仿宋_GB2312" w:eastAsia="仿宋_GB2312" w:hint="eastAsia"/>
                <w:szCs w:val="21"/>
              </w:rPr>
              <w:t>1：境内</w:t>
            </w:r>
            <w:r w:rsidR="001A637B">
              <w:rPr>
                <w:rFonts w:ascii="仿宋_GB2312" w:eastAsia="仿宋_GB2312" w:hint="eastAsia"/>
                <w:szCs w:val="21"/>
              </w:rPr>
              <w:t>经办行收到</w:t>
            </w:r>
            <w:r w:rsidRPr="00960CAB">
              <w:rPr>
                <w:rFonts w:ascii="仿宋_GB2312" w:eastAsia="仿宋_GB2312" w:hint="eastAsia"/>
                <w:szCs w:val="21"/>
              </w:rPr>
              <w:t>境外银行</w:t>
            </w:r>
            <w:r w:rsidR="001A637B">
              <w:rPr>
                <w:rFonts w:ascii="仿宋_GB2312" w:eastAsia="仿宋_GB2312" w:hint="eastAsia"/>
                <w:szCs w:val="21"/>
              </w:rPr>
              <w:t>资金</w:t>
            </w:r>
          </w:p>
        </w:tc>
        <w:tc>
          <w:tcPr>
            <w:tcW w:w="1420" w:type="dxa"/>
            <w:vAlign w:val="center"/>
          </w:tcPr>
          <w:p w:rsidR="00A428A9" w:rsidRPr="00960CAB" w:rsidRDefault="001A637B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境内卖</w:t>
            </w:r>
            <w:r w:rsidR="00A428A9" w:rsidRPr="00960CAB">
              <w:rPr>
                <w:rFonts w:ascii="仿宋_GB2312" w:eastAsia="仿宋_GB2312" w:hint="eastAsia"/>
                <w:szCs w:val="21"/>
              </w:rPr>
              <w:t>方</w:t>
            </w:r>
          </w:p>
        </w:tc>
        <w:tc>
          <w:tcPr>
            <w:tcW w:w="1420" w:type="dxa"/>
            <w:vAlign w:val="center"/>
          </w:tcPr>
          <w:p w:rsidR="00A428A9" w:rsidRPr="00960CAB" w:rsidRDefault="00A428A9" w:rsidP="0036687E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822020</w:t>
            </w:r>
            <w:r w:rsidRPr="00960CAB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A428A9" w:rsidRPr="00960CAB" w:rsidRDefault="00A428A9" w:rsidP="0036687E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境外银行</w:t>
            </w:r>
          </w:p>
        </w:tc>
        <w:tc>
          <w:tcPr>
            <w:tcW w:w="1421" w:type="dxa"/>
            <w:vAlign w:val="center"/>
          </w:tcPr>
          <w:p w:rsidR="00A428A9" w:rsidRPr="00960CAB" w:rsidRDefault="001A637B" w:rsidP="003668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例如：国内贸易跨境福费廷收</w:t>
            </w:r>
            <w:r w:rsidR="00A428A9" w:rsidRPr="00960CAB">
              <w:rPr>
                <w:rFonts w:ascii="仿宋_GB2312" w:eastAsia="仿宋_GB2312" w:hint="eastAsia"/>
                <w:szCs w:val="21"/>
              </w:rPr>
              <w:t>款</w:t>
            </w:r>
          </w:p>
        </w:tc>
      </w:tr>
      <w:tr w:rsidR="00A428A9" w:rsidRPr="00960CAB" w:rsidTr="002814DB">
        <w:trPr>
          <w:jc w:val="center"/>
        </w:trPr>
        <w:tc>
          <w:tcPr>
            <w:tcW w:w="1881" w:type="dxa"/>
            <w:vAlign w:val="center"/>
          </w:tcPr>
          <w:p w:rsidR="00A428A9" w:rsidRPr="00960CAB" w:rsidRDefault="00A428A9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环节2：境内买方汇款给境外银行</w:t>
            </w:r>
          </w:p>
        </w:tc>
        <w:tc>
          <w:tcPr>
            <w:tcW w:w="1420" w:type="dxa"/>
            <w:vAlign w:val="center"/>
          </w:tcPr>
          <w:p w:rsidR="00A428A9" w:rsidRPr="00960CAB" w:rsidRDefault="00A428A9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境内买方</w:t>
            </w:r>
          </w:p>
        </w:tc>
        <w:tc>
          <w:tcPr>
            <w:tcW w:w="1420" w:type="dxa"/>
            <w:vAlign w:val="center"/>
          </w:tcPr>
          <w:p w:rsidR="00A428A9" w:rsidRPr="00960CAB" w:rsidRDefault="00A428A9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822020</w:t>
            </w:r>
            <w:r w:rsidRPr="00960CAB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421" w:type="dxa"/>
            <w:vAlign w:val="center"/>
          </w:tcPr>
          <w:p w:rsidR="00A428A9" w:rsidRPr="00960CAB" w:rsidRDefault="00A428A9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境外银行</w:t>
            </w:r>
          </w:p>
        </w:tc>
        <w:tc>
          <w:tcPr>
            <w:tcW w:w="1421" w:type="dxa"/>
            <w:vAlign w:val="center"/>
          </w:tcPr>
          <w:p w:rsidR="00A428A9" w:rsidRPr="00960CAB" w:rsidRDefault="00A428A9" w:rsidP="002814DB">
            <w:pPr>
              <w:jc w:val="center"/>
              <w:rPr>
                <w:rFonts w:ascii="仿宋_GB2312" w:eastAsia="仿宋_GB2312"/>
                <w:szCs w:val="21"/>
              </w:rPr>
            </w:pPr>
            <w:r w:rsidRPr="00960CAB">
              <w:rPr>
                <w:rFonts w:ascii="仿宋_GB2312" w:eastAsia="仿宋_GB2312" w:hint="eastAsia"/>
                <w:szCs w:val="21"/>
              </w:rPr>
              <w:t>例如：国内贸易跨境福费廷还款</w:t>
            </w:r>
          </w:p>
        </w:tc>
      </w:tr>
    </w:tbl>
    <w:p w:rsidR="00960CAB" w:rsidRPr="00960CAB" w:rsidRDefault="00960CAB" w:rsidP="00960CAB">
      <w:pPr>
        <w:jc w:val="left"/>
        <w:rPr>
          <w:rFonts w:ascii="仿宋_GB2312" w:eastAsia="仿宋_GB2312"/>
          <w:sz w:val="30"/>
          <w:szCs w:val="30"/>
        </w:rPr>
      </w:pPr>
    </w:p>
    <w:sectPr w:rsidR="00960CAB" w:rsidRPr="00960CAB" w:rsidSect="00ED3A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BEC" w:rsidRDefault="00340BEC" w:rsidP="006C6B20">
      <w:pPr>
        <w:spacing w:line="240" w:lineRule="auto"/>
      </w:pPr>
      <w:r>
        <w:separator/>
      </w:r>
    </w:p>
  </w:endnote>
  <w:endnote w:type="continuationSeparator" w:id="1">
    <w:p w:rsidR="00340BEC" w:rsidRDefault="00340BEC" w:rsidP="006C6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BEC" w:rsidRDefault="00340BEC" w:rsidP="006C6B20">
      <w:pPr>
        <w:spacing w:line="240" w:lineRule="auto"/>
      </w:pPr>
      <w:r>
        <w:separator/>
      </w:r>
    </w:p>
  </w:footnote>
  <w:footnote w:type="continuationSeparator" w:id="1">
    <w:p w:rsidR="00340BEC" w:rsidRDefault="00340BEC" w:rsidP="006C6B20">
      <w:pPr>
        <w:spacing w:line="240" w:lineRule="auto"/>
      </w:pPr>
      <w:r>
        <w:continuationSeparator/>
      </w:r>
    </w:p>
  </w:footnote>
  <w:footnote w:id="2">
    <w:p w:rsidR="0094665B" w:rsidRDefault="0094665B">
      <w:pPr>
        <w:pStyle w:val="aa"/>
      </w:pPr>
      <w:r>
        <w:rPr>
          <w:rStyle w:val="ab"/>
        </w:rPr>
        <w:footnoteRef/>
      </w:r>
      <w:r>
        <w:t xml:space="preserve"> </w:t>
      </w:r>
      <w:r>
        <w:rPr>
          <w:rFonts w:hint="eastAsia"/>
        </w:rPr>
        <w:t>如填报实际交易方有困难，也可申报为直接收付款人（下同）。本例中，也可将对手方申报为境外银行。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695"/>
    <w:rsid w:val="00001EBA"/>
    <w:rsid w:val="0000600E"/>
    <w:rsid w:val="00013685"/>
    <w:rsid w:val="000149E3"/>
    <w:rsid w:val="000268B8"/>
    <w:rsid w:val="0003351C"/>
    <w:rsid w:val="000344E5"/>
    <w:rsid w:val="000444ED"/>
    <w:rsid w:val="00057A6C"/>
    <w:rsid w:val="00060EF5"/>
    <w:rsid w:val="00063F41"/>
    <w:rsid w:val="0007074F"/>
    <w:rsid w:val="00077BA8"/>
    <w:rsid w:val="00080B70"/>
    <w:rsid w:val="000841AA"/>
    <w:rsid w:val="0009607E"/>
    <w:rsid w:val="000A2975"/>
    <w:rsid w:val="000A597F"/>
    <w:rsid w:val="000C5720"/>
    <w:rsid w:val="000E0F63"/>
    <w:rsid w:val="000E32A4"/>
    <w:rsid w:val="000F6B8F"/>
    <w:rsid w:val="00101B34"/>
    <w:rsid w:val="00122CD8"/>
    <w:rsid w:val="0012787D"/>
    <w:rsid w:val="0013022F"/>
    <w:rsid w:val="00141AE8"/>
    <w:rsid w:val="00142ADF"/>
    <w:rsid w:val="0015240F"/>
    <w:rsid w:val="0016002D"/>
    <w:rsid w:val="0017202D"/>
    <w:rsid w:val="00174E91"/>
    <w:rsid w:val="00187AF7"/>
    <w:rsid w:val="001A637B"/>
    <w:rsid w:val="001B7818"/>
    <w:rsid w:val="001C0759"/>
    <w:rsid w:val="001D39C9"/>
    <w:rsid w:val="001D70EE"/>
    <w:rsid w:val="001E23BD"/>
    <w:rsid w:val="001E5F14"/>
    <w:rsid w:val="001F167C"/>
    <w:rsid w:val="001F2D5C"/>
    <w:rsid w:val="002217BE"/>
    <w:rsid w:val="00245A40"/>
    <w:rsid w:val="002546EB"/>
    <w:rsid w:val="0027448E"/>
    <w:rsid w:val="00277E49"/>
    <w:rsid w:val="00295B40"/>
    <w:rsid w:val="002A2922"/>
    <w:rsid w:val="002A694E"/>
    <w:rsid w:val="002B1BDC"/>
    <w:rsid w:val="002B3900"/>
    <w:rsid w:val="002F14B1"/>
    <w:rsid w:val="002F7717"/>
    <w:rsid w:val="003076A5"/>
    <w:rsid w:val="003241D0"/>
    <w:rsid w:val="00340BEC"/>
    <w:rsid w:val="00341619"/>
    <w:rsid w:val="003447DB"/>
    <w:rsid w:val="0034539D"/>
    <w:rsid w:val="003600FB"/>
    <w:rsid w:val="00363E83"/>
    <w:rsid w:val="00366831"/>
    <w:rsid w:val="00371213"/>
    <w:rsid w:val="00372E9D"/>
    <w:rsid w:val="0038069F"/>
    <w:rsid w:val="003939AA"/>
    <w:rsid w:val="003B1BD8"/>
    <w:rsid w:val="003B2710"/>
    <w:rsid w:val="003D1111"/>
    <w:rsid w:val="003D17FA"/>
    <w:rsid w:val="003E7BA9"/>
    <w:rsid w:val="003F08CA"/>
    <w:rsid w:val="00405780"/>
    <w:rsid w:val="00407D68"/>
    <w:rsid w:val="004424CE"/>
    <w:rsid w:val="00443100"/>
    <w:rsid w:val="00447472"/>
    <w:rsid w:val="00447C62"/>
    <w:rsid w:val="00447E41"/>
    <w:rsid w:val="0045157A"/>
    <w:rsid w:val="004732F7"/>
    <w:rsid w:val="004736BA"/>
    <w:rsid w:val="004871BC"/>
    <w:rsid w:val="00492949"/>
    <w:rsid w:val="00494148"/>
    <w:rsid w:val="00495B5A"/>
    <w:rsid w:val="004A61E5"/>
    <w:rsid w:val="004F42DF"/>
    <w:rsid w:val="00503A58"/>
    <w:rsid w:val="005225A4"/>
    <w:rsid w:val="00524391"/>
    <w:rsid w:val="00535281"/>
    <w:rsid w:val="00561887"/>
    <w:rsid w:val="0056549A"/>
    <w:rsid w:val="00577742"/>
    <w:rsid w:val="00580C34"/>
    <w:rsid w:val="005A0084"/>
    <w:rsid w:val="005A39E5"/>
    <w:rsid w:val="005B1700"/>
    <w:rsid w:val="005D6114"/>
    <w:rsid w:val="005F6970"/>
    <w:rsid w:val="0063695B"/>
    <w:rsid w:val="006457B3"/>
    <w:rsid w:val="0064589B"/>
    <w:rsid w:val="00652584"/>
    <w:rsid w:val="006578D7"/>
    <w:rsid w:val="006612E1"/>
    <w:rsid w:val="00661C5B"/>
    <w:rsid w:val="006669DD"/>
    <w:rsid w:val="006716A6"/>
    <w:rsid w:val="00675276"/>
    <w:rsid w:val="00697D18"/>
    <w:rsid w:val="00697FD0"/>
    <w:rsid w:val="006A02B5"/>
    <w:rsid w:val="006A0A77"/>
    <w:rsid w:val="006A2127"/>
    <w:rsid w:val="006B4889"/>
    <w:rsid w:val="006C2BB5"/>
    <w:rsid w:val="006C6B20"/>
    <w:rsid w:val="006E4F4C"/>
    <w:rsid w:val="006F7DC4"/>
    <w:rsid w:val="00706D7F"/>
    <w:rsid w:val="00707F3F"/>
    <w:rsid w:val="00710D6A"/>
    <w:rsid w:val="007415B7"/>
    <w:rsid w:val="007443A2"/>
    <w:rsid w:val="00745AB3"/>
    <w:rsid w:val="00760160"/>
    <w:rsid w:val="00761D75"/>
    <w:rsid w:val="007656C2"/>
    <w:rsid w:val="00766B74"/>
    <w:rsid w:val="00776D4B"/>
    <w:rsid w:val="00780D05"/>
    <w:rsid w:val="00786796"/>
    <w:rsid w:val="00786821"/>
    <w:rsid w:val="00796451"/>
    <w:rsid w:val="007B4A20"/>
    <w:rsid w:val="007B71D6"/>
    <w:rsid w:val="007C7FDB"/>
    <w:rsid w:val="007E7025"/>
    <w:rsid w:val="007E7FA7"/>
    <w:rsid w:val="007F6F5B"/>
    <w:rsid w:val="00810B43"/>
    <w:rsid w:val="00812DD0"/>
    <w:rsid w:val="008147A6"/>
    <w:rsid w:val="00822C0E"/>
    <w:rsid w:val="00825CAC"/>
    <w:rsid w:val="008263F8"/>
    <w:rsid w:val="00826AC7"/>
    <w:rsid w:val="00833056"/>
    <w:rsid w:val="008406DF"/>
    <w:rsid w:val="00854672"/>
    <w:rsid w:val="00874BA3"/>
    <w:rsid w:val="008864CA"/>
    <w:rsid w:val="008866BE"/>
    <w:rsid w:val="008A13CE"/>
    <w:rsid w:val="008A158A"/>
    <w:rsid w:val="008A4F59"/>
    <w:rsid w:val="008B13CC"/>
    <w:rsid w:val="008C6F17"/>
    <w:rsid w:val="008E1F1F"/>
    <w:rsid w:val="008F2910"/>
    <w:rsid w:val="008F6D91"/>
    <w:rsid w:val="009033E1"/>
    <w:rsid w:val="00904FF8"/>
    <w:rsid w:val="009077DA"/>
    <w:rsid w:val="009159C5"/>
    <w:rsid w:val="009214FD"/>
    <w:rsid w:val="00921FD4"/>
    <w:rsid w:val="009229BC"/>
    <w:rsid w:val="0093374A"/>
    <w:rsid w:val="00933BA1"/>
    <w:rsid w:val="0094665B"/>
    <w:rsid w:val="0095499F"/>
    <w:rsid w:val="009566AB"/>
    <w:rsid w:val="00960CAB"/>
    <w:rsid w:val="00966A9B"/>
    <w:rsid w:val="00966D6F"/>
    <w:rsid w:val="00970357"/>
    <w:rsid w:val="00972799"/>
    <w:rsid w:val="00995C64"/>
    <w:rsid w:val="009974DD"/>
    <w:rsid w:val="009B294A"/>
    <w:rsid w:val="009C0E54"/>
    <w:rsid w:val="009C2463"/>
    <w:rsid w:val="009C4692"/>
    <w:rsid w:val="009D7CA4"/>
    <w:rsid w:val="009E11F9"/>
    <w:rsid w:val="009E14B1"/>
    <w:rsid w:val="009E66BA"/>
    <w:rsid w:val="00A02909"/>
    <w:rsid w:val="00A04E95"/>
    <w:rsid w:val="00A14BBD"/>
    <w:rsid w:val="00A1517A"/>
    <w:rsid w:val="00A16026"/>
    <w:rsid w:val="00A24ECC"/>
    <w:rsid w:val="00A26856"/>
    <w:rsid w:val="00A27DF2"/>
    <w:rsid w:val="00A33F40"/>
    <w:rsid w:val="00A428A9"/>
    <w:rsid w:val="00A45CE8"/>
    <w:rsid w:val="00A52638"/>
    <w:rsid w:val="00A652A4"/>
    <w:rsid w:val="00A67B27"/>
    <w:rsid w:val="00A71A8A"/>
    <w:rsid w:val="00A73AFF"/>
    <w:rsid w:val="00A8365F"/>
    <w:rsid w:val="00A844E5"/>
    <w:rsid w:val="00A86DB9"/>
    <w:rsid w:val="00A90237"/>
    <w:rsid w:val="00A91770"/>
    <w:rsid w:val="00A92770"/>
    <w:rsid w:val="00AB4285"/>
    <w:rsid w:val="00AC7CE7"/>
    <w:rsid w:val="00AE3248"/>
    <w:rsid w:val="00AE7FA9"/>
    <w:rsid w:val="00AF077B"/>
    <w:rsid w:val="00AF6695"/>
    <w:rsid w:val="00B0281E"/>
    <w:rsid w:val="00B054E6"/>
    <w:rsid w:val="00B56A8C"/>
    <w:rsid w:val="00B814D0"/>
    <w:rsid w:val="00B940E6"/>
    <w:rsid w:val="00BA01DA"/>
    <w:rsid w:val="00BA1439"/>
    <w:rsid w:val="00BA5B61"/>
    <w:rsid w:val="00BA6581"/>
    <w:rsid w:val="00BB2B38"/>
    <w:rsid w:val="00BB3490"/>
    <w:rsid w:val="00BC4ACF"/>
    <w:rsid w:val="00BC5221"/>
    <w:rsid w:val="00BD0ED9"/>
    <w:rsid w:val="00BE152C"/>
    <w:rsid w:val="00BF01BE"/>
    <w:rsid w:val="00BF2916"/>
    <w:rsid w:val="00BF69E5"/>
    <w:rsid w:val="00C117E8"/>
    <w:rsid w:val="00C164C8"/>
    <w:rsid w:val="00C36A8E"/>
    <w:rsid w:val="00C45972"/>
    <w:rsid w:val="00C478BA"/>
    <w:rsid w:val="00C47D98"/>
    <w:rsid w:val="00C54B40"/>
    <w:rsid w:val="00C54D98"/>
    <w:rsid w:val="00C72498"/>
    <w:rsid w:val="00C73C07"/>
    <w:rsid w:val="00C87A30"/>
    <w:rsid w:val="00C94810"/>
    <w:rsid w:val="00CD0C8C"/>
    <w:rsid w:val="00CD4C62"/>
    <w:rsid w:val="00CE1BFB"/>
    <w:rsid w:val="00CE2C46"/>
    <w:rsid w:val="00CF3B4E"/>
    <w:rsid w:val="00D13A84"/>
    <w:rsid w:val="00D158C2"/>
    <w:rsid w:val="00D17A0B"/>
    <w:rsid w:val="00D255A7"/>
    <w:rsid w:val="00D42541"/>
    <w:rsid w:val="00D438B9"/>
    <w:rsid w:val="00D46F51"/>
    <w:rsid w:val="00D67B6D"/>
    <w:rsid w:val="00D73CF8"/>
    <w:rsid w:val="00D77E1C"/>
    <w:rsid w:val="00D90047"/>
    <w:rsid w:val="00D90D09"/>
    <w:rsid w:val="00D97088"/>
    <w:rsid w:val="00DA45B4"/>
    <w:rsid w:val="00DB610C"/>
    <w:rsid w:val="00DB6815"/>
    <w:rsid w:val="00DB7A80"/>
    <w:rsid w:val="00DD2508"/>
    <w:rsid w:val="00DD3A39"/>
    <w:rsid w:val="00DF7CDC"/>
    <w:rsid w:val="00E02E66"/>
    <w:rsid w:val="00E074FE"/>
    <w:rsid w:val="00E21627"/>
    <w:rsid w:val="00E262F4"/>
    <w:rsid w:val="00E32D98"/>
    <w:rsid w:val="00E4247A"/>
    <w:rsid w:val="00E73582"/>
    <w:rsid w:val="00E73C31"/>
    <w:rsid w:val="00E76F15"/>
    <w:rsid w:val="00E773AB"/>
    <w:rsid w:val="00E77B51"/>
    <w:rsid w:val="00EA2BC6"/>
    <w:rsid w:val="00EA74B9"/>
    <w:rsid w:val="00ED3AD1"/>
    <w:rsid w:val="00ED5FB6"/>
    <w:rsid w:val="00EE0281"/>
    <w:rsid w:val="00EE5ED8"/>
    <w:rsid w:val="00EF04B7"/>
    <w:rsid w:val="00F02AEC"/>
    <w:rsid w:val="00F03E8B"/>
    <w:rsid w:val="00F07124"/>
    <w:rsid w:val="00F114F1"/>
    <w:rsid w:val="00F2460C"/>
    <w:rsid w:val="00F32188"/>
    <w:rsid w:val="00F401FC"/>
    <w:rsid w:val="00F553FD"/>
    <w:rsid w:val="00F60D52"/>
    <w:rsid w:val="00F626DD"/>
    <w:rsid w:val="00F6390D"/>
    <w:rsid w:val="00F63AA6"/>
    <w:rsid w:val="00F76783"/>
    <w:rsid w:val="00F77A84"/>
    <w:rsid w:val="00F9679A"/>
    <w:rsid w:val="00FA4DE3"/>
    <w:rsid w:val="00FA6DE8"/>
    <w:rsid w:val="00FA72EA"/>
    <w:rsid w:val="00FB163A"/>
    <w:rsid w:val="00FB46EF"/>
    <w:rsid w:val="00FC191B"/>
    <w:rsid w:val="00FC4136"/>
    <w:rsid w:val="00FC527B"/>
    <w:rsid w:val="00FF2B2F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  <o:rules v:ext="edit">
        <o:r id="V:Rule52" type="connector" idref="#_x0000_s1030"/>
        <o:r id="V:Rule53" type="connector" idref="#_x0000_s1166"/>
        <o:r id="V:Rule54" type="connector" idref="#_x0000_s1045"/>
        <o:r id="V:Rule55" type="connector" idref="#_x0000_s1102"/>
        <o:r id="V:Rule56" type="connector" idref="#_x0000_s1082"/>
        <o:r id="V:Rule57" type="connector" idref="#_x0000_s1091"/>
        <o:r id="V:Rule58" type="connector" idref="#_x0000_s1079">
          <o:proxy start="" idref="#_x0000_s1075" connectloc="1"/>
          <o:proxy end="" idref="#_x0000_s1076" connectloc="0"/>
        </o:r>
        <o:r id="V:Rule59" type="connector" idref="#_x0000_s1175"/>
        <o:r id="V:Rule60" type="connector" idref="#_x0000_s1121"/>
        <o:r id="V:Rule61" type="connector" idref="#_x0000_s1084"/>
        <o:r id="V:Rule62" type="connector" idref="#_x0000_s1119">
          <o:proxy start="" idref="#_x0000_s1116" connectloc="2"/>
          <o:proxy end="" idref="#_x0000_s1118" connectloc="0"/>
        </o:r>
        <o:r id="V:Rule63" type="connector" idref="#_x0000_s1065"/>
        <o:r id="V:Rule64" type="connector" idref="#_x0000_s1046"/>
        <o:r id="V:Rule65" type="connector" idref="#_x0000_s1081">
          <o:proxy start="" idref="#_x0000_s1086" connectloc="1"/>
          <o:proxy end="" idref="#_x0000_s1076" connectloc="2"/>
        </o:r>
        <o:r id="V:Rule66" type="connector" idref="#_x0000_s1125"/>
        <o:r id="V:Rule67" type="connector" idref="#_x0000_s1038">
          <o:proxy start="" idref="#_x0000_s1035" connectloc="3"/>
          <o:proxy end="" idref="#_x0000_s1036" connectloc="1"/>
        </o:r>
        <o:r id="V:Rule68" type="connector" idref="#_x0000_s1164">
          <o:proxy start="" idref="#_x0000_s1160" connectloc="3"/>
          <o:proxy end="" idref="#_x0000_s1161" connectloc="1"/>
        </o:r>
        <o:r id="V:Rule69" type="connector" idref="#_x0000_s1042"/>
        <o:r id="V:Rule70" type="connector" idref="#_x0000_s1099">
          <o:proxy start="" idref="#_x0000_s1095" connectloc="1"/>
          <o:proxy end="" idref="#_x0000_s1094" connectloc="3"/>
        </o:r>
        <o:r id="V:Rule71" type="connector" idref="#_x0000_s1037">
          <o:proxy start="" idref="#_x0000_s1034" connectloc="0"/>
        </o:r>
        <o:r id="V:Rule72" type="connector" idref="#_x0000_s1101">
          <o:proxy start="" idref="#_x0000_s1096" connectloc="0"/>
          <o:proxy end="" idref="#_x0000_s1094" connectloc="2"/>
        </o:r>
        <o:r id="V:Rule73" type="connector" idref="#_x0000_s1060">
          <o:proxy start="" idref="#_x0000_s1055" connectloc="0"/>
        </o:r>
        <o:r id="V:Rule74" type="connector" idref="#_x0000_s1165">
          <o:proxy end="" idref="#_x0000_s1158" connectloc="2"/>
        </o:r>
        <o:r id="V:Rule75" type="connector" idref="#_x0000_s1039">
          <o:proxy start="" idref="#_x0000_s1035" connectloc="0"/>
          <o:proxy end="" idref="#_x0000_s1033" connectloc="2"/>
        </o:r>
        <o:r id="V:Rule76" type="connector" idref="#_x0000_s1040"/>
        <o:r id="V:Rule77" type="connector" idref="#_x0000_s1120">
          <o:proxy start="" idref="#_x0000_s1118" connectloc="0"/>
          <o:proxy end="" idref="#_x0000_s1115" connectloc="2"/>
        </o:r>
        <o:r id="V:Rule78" type="connector" idref="#_x0000_s1168"/>
        <o:r id="V:Rule79" type="connector" idref="#_x0000_s1107"/>
        <o:r id="V:Rule80" type="connector" idref="#_x0000_s1063"/>
        <o:r id="V:Rule81" type="connector" idref="#_x0000_s1072"/>
        <o:r id="V:Rule82" type="connector" idref="#_x0000_s1106"/>
        <o:r id="V:Rule83" type="connector" idref="#_x0000_s1104"/>
        <o:r id="V:Rule84" type="connector" idref="#_x0000_s1123">
          <o:proxy start="" idref="#_x0000_s1117" connectloc="3"/>
          <o:proxy end="" idref="#_x0000_s1118" connectloc="1"/>
        </o:r>
        <o:r id="V:Rule85" type="connector" idref="#_x0000_s1127"/>
        <o:r id="V:Rule86" type="connector" idref="#_x0000_s1051"/>
        <o:r id="V:Rule87" type="connector" idref="#_x0000_s1162">
          <o:proxy start="" idref="#_x0000_s1159" connectloc="2"/>
          <o:proxy end="" idref="#_x0000_s1161" connectloc="0"/>
        </o:r>
        <o:r id="V:Rule88" type="connector" idref="#_x0000_s1100">
          <o:proxy start="" idref="#_x0000_s1096" connectloc="3"/>
          <o:proxy end="" idref="#_x0000_s1097" connectloc="1"/>
        </o:r>
        <o:r id="V:Rule89" type="connector" idref="#_x0000_s1078">
          <o:proxy start="" idref="#_x0000_s1075" connectloc="2"/>
          <o:proxy end="" idref="#_x0000_s1077" connectloc="0"/>
        </o:r>
        <o:r id="V:Rule90" type="connector" idref="#_x0000_s1058">
          <o:proxy start="" idref="#_x0000_s1057" connectloc="0"/>
          <o:proxy end="" idref="#_x0000_s1054" connectloc="2"/>
        </o:r>
        <o:r id="V:Rule91" type="connector" idref="#_x0000_s1061">
          <o:proxy start="" idref="#_x0000_s1056" connectloc="3"/>
          <o:proxy end="" idref="#_x0000_s1057" connectloc="1"/>
        </o:r>
        <o:r id="V:Rule92" type="connector" idref="#_x0000_s1059"/>
        <o:r id="V:Rule93" type="connector" idref="#_x0000_s1044">
          <o:proxy start="" idref="#_x0000_s1034" connectloc="1"/>
          <o:proxy end="" idref="#_x0000_s1036" connectloc="3"/>
        </o:r>
        <o:r id="V:Rule94" type="connector" idref="#_x0000_s1067">
          <o:proxy start="" idref="#_x0000_s1055" connectloc="1"/>
          <o:proxy end="" idref="#_x0000_s1057" connectloc="3"/>
        </o:r>
        <o:r id="V:Rule95" type="connector" idref="#_x0000_s1124">
          <o:proxy start="" idref="#_x0000_s1117" connectloc="0"/>
          <o:proxy end="" idref="#_x0000_s1115" connectloc="2"/>
        </o:r>
        <o:r id="V:Rule96" type="connector" idref="#_x0000_s1155"/>
        <o:r id="V:Rule97" type="connector" idref="#_x0000_s1080"/>
        <o:r id="V:Rule98" type="connector" idref="#_x0000_s1112"/>
        <o:r id="V:Rule99" type="connector" idref="#_x0000_s1098">
          <o:proxy start="" idref="#_x0000_s1095" connectloc="2"/>
          <o:proxy end="" idref="#_x0000_s1097" connectloc="0"/>
        </o:r>
        <o:r id="V:Rule100" type="connector" idref="#_x0000_s1122">
          <o:proxy start="" idref="#_x0000_s1116" connectloc="1"/>
          <o:proxy end="" idref="#_x0000_s1115" connectloc="3"/>
        </o:r>
        <o:r id="V:Rule101" type="connector" idref="#_x0000_s1062">
          <o:proxy start="" idref="#_x0000_s1056" connectloc="0"/>
          <o:proxy end="" idref="#_x0000_s1054" connectloc="2"/>
        </o:r>
        <o:r id="V:Rule102" type="connector" idref="#_x0000_s1173">
          <o:proxy start="" idref="#_x0000_s1161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D1"/>
    <w:pPr>
      <w:widowControl w:val="0"/>
      <w:spacing w:line="14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6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C6B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6B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6B2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6B2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4BA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4BA3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07074F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07074F"/>
    <w:rPr>
      <w:rFonts w:ascii="宋体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67B6D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960CAB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60CAB"/>
    <w:rPr>
      <w:kern w:val="2"/>
      <w:sz w:val="21"/>
      <w:szCs w:val="22"/>
    </w:rPr>
  </w:style>
  <w:style w:type="paragraph" w:styleId="aa">
    <w:name w:val="footnote text"/>
    <w:basedOn w:val="a"/>
    <w:link w:val="Char4"/>
    <w:uiPriority w:val="99"/>
    <w:semiHidden/>
    <w:unhideWhenUsed/>
    <w:rsid w:val="000344E5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a"/>
    <w:uiPriority w:val="99"/>
    <w:semiHidden/>
    <w:rsid w:val="000344E5"/>
    <w:rPr>
      <w:kern w:val="2"/>
      <w:sz w:val="18"/>
      <w:szCs w:val="18"/>
    </w:rPr>
  </w:style>
  <w:style w:type="character" w:styleId="ab">
    <w:name w:val="footnote reference"/>
    <w:basedOn w:val="a0"/>
    <w:uiPriority w:val="99"/>
    <w:semiHidden/>
    <w:unhideWhenUsed/>
    <w:rsid w:val="000344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E3ADC-AC49-4849-8408-924B0AE9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User</cp:lastModifiedBy>
  <cp:revision>2</cp:revision>
  <cp:lastPrinted>2015-05-18T08:53:00Z</cp:lastPrinted>
  <dcterms:created xsi:type="dcterms:W3CDTF">2015-05-22T03:36:00Z</dcterms:created>
  <dcterms:modified xsi:type="dcterms:W3CDTF">2015-05-22T03:36:00Z</dcterms:modified>
</cp:coreProperties>
</file>